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第323期</w:t>
      </w:r>
      <w:r>
        <w:t xml:space="preserve"> </w:t>
      </w:r>
      <w:r>
        <w:t xml:space="preserve">-</w:t>
      </w:r>
      <w:r>
        <w:t xml:space="preserve"> </w:t>
      </w:r>
      <w:r>
        <w:t xml:space="preserve">2010年01月22日</w:t>
      </w:r>
    </w:p>
    <w:p>
      <w:hyperlink r:id="rId21">
        <w:r>
          <w:rPr>
            <w:rStyle w:val="Link"/>
          </w:rPr>
          <w:t xml:space="preserve">网络版</w:t>
        </w:r>
      </w:hyperlink>
    </w:p>
    <w:p>
      <w:pPr>
        <w:pStyle w:val="Heading1"/>
      </w:pPr>
      <w:bookmarkStart w:id="22" w:name="法讯中国第323期"/>
      <w:bookmarkEnd w:id="22"/>
      <w:r>
        <w:t xml:space="preserve">法讯中国第323期</w:t>
      </w:r>
    </w:p>
    <w:p>
      <w:pPr>
        <w:pStyle w:val="Heading2"/>
      </w:pPr>
      <w:bookmarkStart w:id="23" w:name="资本市场-capital-markets"/>
      <w:bookmarkEnd w:id="23"/>
      <w:r>
        <w:t xml:space="preserve">资本市场 Capital Markets</w:t>
      </w:r>
    </w:p>
    <w:p>
      <w:pPr>
        <w:pStyle w:val="Heading3"/>
      </w:pPr>
      <w:bookmarkStart w:id="24" w:name="融资融券业务试点和股指期货已获原则同意"/>
      <w:bookmarkEnd w:id="24"/>
      <w:r>
        <w:t xml:space="preserve">融资融券业务试点和股指期货已获原则同意</w:t>
      </w:r>
    </w:p>
    <w:p>
      <w:r>
        <w:t xml:space="preserve">国务院已原则同意开展证券公司融资融券业务试点和推出股指期货品种。</w:t>
      </w:r>
    </w:p>
    <w:p>
      <w:r>
        <w:t xml:space="preserve">开展证券公司融资融券业务试点和推出股指期货品种，是加强我国资本市场基础性制度建设，不断丰富证券交易方式，完善市场功能，继续夯实市场稳定运行的内在基础，促进资本市场稳定健康发展的重要举措。</w:t>
      </w:r>
    </w:p>
    <w:p>
      <w:r>
        <w:t xml:space="preserve">证监会将按照“试点先行、逐步推开”的原则，综合衡量净资本规模、合规经营、净资本风险控制等指标和试点实施方案准备情况，择优选择优质证券公司进行融资融券业务的首批试点，并根据试点情况和市场状况，逐步扩大试点范围。</w:t>
      </w:r>
    </w:p>
    <w:p>
      <w:r>
        <w:t xml:space="preserve">股指期货是国际市场成熟的期货品种和风险管理工具。2006年9月，经国务院同意，证监会批准成立了中国金融期货交易所。三年多来，按照“高标准、稳起步”的要求，中国金融期货交易所完成了沪深300指数期货的合约设计、规则制定以及股指期货挂盘交易的各项技术系统建设，并开展了大量的投资者教育工作，目前前期的各项准备工作已经基本就绪。</w:t>
      </w:r>
    </w:p>
    <w:p>
      <w:r>
        <w:t xml:space="preserve">证监会将统筹股指期货上市前的各项准备工作，包括发布股指期货投资者适当性制度、明确金融机构的准入政策、审批股指期货合约以及培训证券公司中间介绍业务和中国金融期货交易所接受投资者开户等工作。上述工作预计需3个月左右。中国金融期货交易所和各有关方面要继续做好股指期货上市交易的准备工作，确保平稳推出。</w:t>
      </w:r>
    </w:p>
    <w:p>
      <w:hyperlink r:id="rId25">
        <w:r>
          <w:rPr>
            <w:rStyle w:val="Link"/>
          </w:rPr>
          <w:t xml:space="preserve">来源：中国证监会官网</w:t>
        </w:r>
      </w:hyperlink>
    </w:p>
    <w:p>
      <w:pPr>
        <w:pStyle w:val="Heading3"/>
      </w:pPr>
      <w:bookmarkStart w:id="26" w:name="股指期货最低交易保证金或提高至12"/>
      <w:bookmarkEnd w:id="26"/>
      <w:r>
        <w:t xml:space="preserve">股指期货最低交易保证金或提高至12%</w:t>
      </w:r>
    </w:p>
    <w:p>
      <w:r>
        <w:t xml:space="preserve">上海证券报消息，记者近日获悉，中国金融期货交易所正着手对股指期货的多项交易规则进行修改，包括熔断机制、持仓限额、最低交易保证金标准等。其中，股指期货最低交易保证金标准或调至12%，持仓限额则有可能大幅降至100张。</w:t>
      </w:r>
    </w:p>
    <w:p>
      <w:r>
        <w:t xml:space="preserve">据悉，为了保障股指期货的平稳推出，防范股指期货推出初期可能出现的风险，有关方面希望中金所能对相关交易规则进行修改，尤其希望发挥股指期货套期保值和风险对冲的基本功能，保护中小投资者的利益。有关方面还希望股指期货推出以后，能起到稳定大盘的作用，避免市场操控事件的出现。</w:t>
      </w:r>
    </w:p>
    <w:p>
      <w:r>
        <w:t xml:space="preserve">出于风险控制的目的，股指期货最低交易保证金标准有可能提高至12%。中金所自成立以来，对股指期货最低交易保证金标准曾不断进行调整，从最初的6%调整到8%，再到之后的10%。</w:t>
      </w:r>
    </w:p>
    <w:p>
      <w:r>
        <w:t xml:space="preserve">持仓限额可能大幅压低至100张。根据中金所此前公布的《交易所风险控制管理办法》的规定，除了申请套期保值额度的会员或客户外，对客户某一合约单边持仓实行绝对数额限仓，持仓限额为600张。对从事自营业务的交易会员某一合约单边持仓实行绝对数额限仓，每一客户号持仓限额为600张。考虑到风险控制并借鉴金融危机以来其他市场调整金融期货持仓限额的经验，并听取市场人士的建议，中金所可能对此进行调整。</w:t>
      </w:r>
    </w:p>
    <w:p>
      <w:r>
        <w:t xml:space="preserve">熔断机制目前已基本确定取消。消息人士称，股指期货仿真交易推出之后，熔断机制在实践中发挥的作用并不大，不能起到制度设计者希望起到的风险警示作用。并且，在仿真交易出现的技术故障中，很大一部分是由于熔断机制所引起的。</w:t>
      </w:r>
    </w:p>
    <w:p>
      <w:r>
        <w:t xml:space="preserve">熔断机制是指对某一合约在达到涨跌停板之前，设置一个熔断价格，使合约买卖报价在一段时间内只能在这一价格范围内交易。根据中金所相关交易规则，沪深300指数期货合约的熔断价格为前一交易日结算价的正负6%，当市场价格触及6%，并持续5分钟，熔断机制启动。熔断机制启动后的连续5分钟内，该合约买卖申报在熔断价格区间内继续撮合成交。5分钟后，熔断机制终止，涨跌停幅度生效。</w:t>
      </w:r>
    </w:p>
    <w:p>
      <w:r>
        <w:t xml:space="preserve">此外，《交易所套期保值管理办法》有可能进行修改，修改后的规则将更大程度体现股指期货套期保值、风险控制的基本功能，保障相关机构套期保值的需要。</w:t>
      </w:r>
    </w:p>
    <w:p>
      <w:hyperlink r:id="rId27">
        <w:r>
          <w:rPr>
            <w:rStyle w:val="Link"/>
          </w:rPr>
          <w:t xml:space="preserve">来源：新华财经</w:t>
        </w:r>
      </w:hyperlink>
    </w:p>
    <w:p>
      <w:pPr>
        <w:pStyle w:val="Heading3"/>
      </w:pPr>
      <w:bookmarkStart w:id="28" w:name="尚福林即将明确qfii参与股指期货政策的规定"/>
      <w:bookmarkEnd w:id="28"/>
      <w:r>
        <w:t xml:space="preserve">尚福林：即将明确QFII参与股指期货政策的规定</w:t>
      </w:r>
    </w:p>
    <w:p>
      <w:r>
        <w:t xml:space="preserve">本周二证监会公布《关于同意中国金融期货交易所开展股指期货交易的批复》后，外界已对2010年全国证券期货监管工作会议充满期待。在刚结束全国证券期货监管工作会议上，证监会主席尚福林指出，保障股指期货平稳顺利上市交易。</w:t>
      </w:r>
    </w:p>
    <w:p>
      <w:r>
        <w:t xml:space="preserve">据悉，“发布实施股指期货投资者适当性制度，明确证券公司、基金公司、合格境外投资者等参与股指期货的政策规定，强化对证券公司从事期货中间介绍业务的规范和监管，健全跨市场监管制度”，将是今年证券期货监管部门“完善期货市场体系，拓展服务国民经济功能”的一项重点工作内容。</w:t>
      </w:r>
    </w:p>
    <w:p>
      <w:r>
        <w:t xml:space="preserve">对比尚福林总结去年期货监管工作内容时“强化期货市场基础建设，稳步发展期货市场”的用词，及其强调今年的期货监管工作重点为“完善期货市场体系，拓展服务国民经济功能”，且要“稳步推进期货公司业务创新”的话语，仍不难看出监管层的期货监管政策将有微妙变化。</w:t>
      </w:r>
    </w:p>
    <w:p>
      <w:r>
        <w:t xml:space="preserve">事实上，在过去的2009年，证监会建立并实施了期货市场统一开户制度，164家期货公司已于去年底全部完成新系统上线工作，且推行期货公司分类监管制度，完成了首次分类评价工作，并实施期货公司信息公示制度、开展期货行业技术检查，另外还明确了期货保证金存管银行的监管政策，深入推进净资本监管和保证金监管，推动落实期货公司首席风险官制度等。</w:t>
      </w:r>
    </w:p>
    <w:p>
      <w:r>
        <w:t xml:space="preserve">上述强化市场制度建设、加强期货市场监管的种种措施，其实也是在为国内期货市场最大的创新即股指期货的诞生进行着基础建设性质的精心准备。不过，负责统筹股指期货上市前各项准备工作的证监会，并未在上述监管年会上将一周前披露“预计需3个月左右”的时间表进一步明晰。</w:t>
      </w:r>
    </w:p>
    <w:p>
      <w:r>
        <w:t xml:space="preserve">而据证监会介绍，在过去一年推进股指期货筹备工作的工作中，有关方面已完善了股指期货合约规则、技术系统、风险控制体系等制度安排，并完成期货公司金融期货业务资格审核回访检查和1143家证券营业部期货介绍业务的专项检查，故可谓“股指期货上市的各项准备工已基本就绪”。</w:t>
      </w:r>
    </w:p>
    <w:p>
      <w:r>
        <w:t xml:space="preserve">尚福林讲话中有关即将明确QFII参与股指期货政策规定的内容，已在境外引起强烈反响。而据业内人士介绍，此前监管部门已就QFII参与股指期货管理办法多次听取有关期货公司的意见。昨晚，甚至已有急不可待的境外金融机构开始到处询问，是否就开放QFII境内期货业务开始“让期货公司填表了”。</w:t>
      </w:r>
    </w:p>
    <w:p>
      <w:hyperlink r:id="rId29">
        <w:r>
          <w:rPr>
            <w:rStyle w:val="Link"/>
          </w:rPr>
          <w:t xml:space="preserve">来源：股指期货网</w:t>
        </w:r>
      </w:hyperlink>
    </w:p>
    <w:p>
      <w:pPr>
        <w:pStyle w:val="Heading2"/>
      </w:pPr>
      <w:bookmarkStart w:id="30" w:name="金融保险-finance-and-insurance"/>
      <w:bookmarkEnd w:id="30"/>
      <w:r>
        <w:t xml:space="preserve">金融保险 Finance And Insurance</w:t>
      </w:r>
    </w:p>
    <w:p>
      <w:pPr>
        <w:pStyle w:val="Heading3"/>
      </w:pPr>
      <w:bookmarkStart w:id="31" w:name="央行决定上调金融机构存款准备金率0.5个百分点"/>
      <w:bookmarkEnd w:id="31"/>
      <w:r>
        <w:t xml:space="preserve">央行决定上调金融机构存款准备金率0.5个百分点</w:t>
      </w:r>
    </w:p>
    <w:p>
      <w:r>
        <w:t xml:space="preserve">在新年首周信贷劲增的境况下，中国首次启动紧缩的货币政策工具。中国央行1月12日傍晚决定，从2010年1月18日起，上调存款类金融机构人民币存款准备金率0.5个百分点，农村信用社等小型金融机构暂不上调。</w:t>
      </w:r>
    </w:p>
    <w:p>
      <w:r>
        <w:t xml:space="preserve">这是自08年6月以来中国央行首次上调存款准备金率，比市场预计到二月份春节后提前了不少。同日，央行发行的1年期央票中标利率呈现5个月以来的首次上行。</w:t>
      </w:r>
    </w:p>
    <w:p>
      <w:r>
        <w:t xml:space="preserve">自去年第四季中国银行信贷暂告平稳后，新年第一周大幅攀升，业内预计当周新增信贷或逾五千亿元。</w:t>
      </w:r>
    </w:p>
    <w:p>
      <w:r>
        <w:t xml:space="preserve">第一财经研究院研究员刘晓忠认为，央行此番动作，一方面是由于货币流动性过于泛滥，银行需要压缩流动性，热钱的涌入，也增加了基础货币的流通，而恰恰是美联储在货币政策上没有大动作，才导致中国必须才去数量紧缩的货币政策来控制流动性过剩。</w:t>
      </w:r>
    </w:p>
    <w:p>
      <w:r>
        <w:t xml:space="preserve">刘晓忠表示，美欧持续一年有余的双宽松政策，释放了大量过剩货币流动性。在当前美欧市场信贷紧缩、债务紧缩依旧的情况下，这些过剩货币流动性，一部分为美国金融机构窖藏，还有一部分流入国际大宗市场，也有部分进入中国等新兴市场国家。这些流入增加了中国的外汇占款，加剧了中国的货币流动性过剩和资产价格泡沫。这样持续时间越长，必然要求中国央行动用数量货币政策回收部分过剩流动性。</w:t>
      </w:r>
    </w:p>
    <w:p>
      <w:r>
        <w:t xml:space="preserve">“当然，这次是数量型政策，不是加息，我想中国央行要加息，不会太快。最近央票利率提高，应该也与提高准备金率有关。”刘补充。1月7日，央行提高三个月期央票发行利率四个基点。与此同时，央行还频繁进行公开市场操作。1月12日，央行展开了2000亿元28天期正回购操作，创下历史最高纪录。</w:t>
      </w:r>
    </w:p>
    <w:p>
      <w:r>
        <w:t xml:space="preserve">1月1日，央行行长周小川在《新年致辞》中表示，2010年将继续实施适度宽松的货币政策，根据新形势新情况着力提高政策的针对性和灵活性。</w:t>
      </w:r>
    </w:p>
    <w:p>
      <w:r>
        <w:t xml:space="preserve">其时来自银行方面的专家解读称，央行行长对2010年货币政策的定调，单从利率方面判断，新的一年加息力度和频率都不会太大。另外中国不希望因加息而导致更多的热钱流入，人们普遍认为，美国的加息最早要到2010年下半年，因而中国的加息也会在此之后，且次数最多两次，每次幅度0.27个百分点。</w:t>
      </w:r>
    </w:p>
    <w:p>
      <w:r>
        <w:t xml:space="preserve">1月26日将是美联储正式议息之日，多数经济学家认为，美联储至少在今年上半年不会提高利率。根据美国媒体近期对部分经济学家进行的调查显示，多数经济学家认为，美联储将在今年第三季度加息，到2011年第一季度，基准利率会由0.25%上升到1.25%左右。</w:t>
      </w:r>
    </w:p>
    <w:p>
      <w:r>
        <w:t xml:space="preserve">近来，在息口的选择上，各国央行的方向基本一致。英格兰银行维持利率在0.5%的低水平不变，瑞士、韩国央行也维持利率不变。</w:t>
      </w:r>
    </w:p>
    <w:p>
      <w:hyperlink r:id="rId32">
        <w:r>
          <w:rPr>
            <w:rStyle w:val="Link"/>
          </w:rPr>
          <w:t xml:space="preserve">来源：21世纪网</w:t>
        </w:r>
      </w:hyperlink>
    </w:p>
    <w:p>
      <w:pPr>
        <w:pStyle w:val="Heading3"/>
      </w:pPr>
      <w:bookmarkStart w:id="33" w:name="股东持股超限-华夏基金受罚"/>
      <w:bookmarkEnd w:id="33"/>
      <w:r>
        <w:t xml:space="preserve">股东持股超限 华夏基金受罚</w:t>
      </w:r>
    </w:p>
    <w:p>
      <w:r>
        <w:t xml:space="preserve">据上海证券报报道，中信证券在全资控股的华夏基金公司股权问题上一拖再拖，终于接到证监会一纸处罚。</w:t>
      </w:r>
    </w:p>
    <w:p>
      <w:r>
        <w:t xml:space="preserve">1月15日晚间，中信证券发布公告称，证监会决定自2010年1月1日起，暂停华夏基金境内公募新产品的发行申请；如果股权在2010年4月1日前仍不能得到规范，证监会基金部将视情况采取进一步监管措施。</w:t>
      </w:r>
    </w:p>
    <w:p>
      <w:r>
        <w:t xml:space="preserve">华夏基金也收到了中国证监会基金监管部《关于督促规范华夏基金管理公司股权的函》。</w:t>
      </w:r>
    </w:p>
    <w:p>
      <w:r>
        <w:t xml:space="preserve">这次证监会暂停华夏基金部分新产品申请，源于《证券投资基金管理公司管理办法》及相关规定：“基金管理公司主要股东最高出资比例，不能超过全部出资的49%”。</w:t>
      </w:r>
    </w:p>
    <w:p>
      <w:r>
        <w:t xml:space="preserve">中信证券通过一系列连环收购，在2007年9月份实现了对华夏基金的100%控股，对当时的华夏基金和中信基金的控股比例均达到100%，这一比例已经显然违反了监管部门要求。为此，2009年1月，中信证券曾经出具了一份承诺书，承诺证监会批复华夏基金吸收合并中信基金后6个月内，会完成相关股权转让。</w:t>
      </w:r>
    </w:p>
    <w:p>
      <w:r>
        <w:t xml:space="preserve">2009年6月29日，证监会正式批复华夏基金吸收合并中信基金，同时明确要求中信证券履行承诺，也就是6个月内务必转让股权，使股权结构合规。</w:t>
      </w:r>
    </w:p>
    <w:p>
      <w:r>
        <w:t xml:space="preserve">根据相关规定，中外合资基金管理公司的中方股东出资比例不受限制，但外资股东持股比例至少要达到25%。所以市场普遍认为，中信可能引入外资股东。这样中信证券就可以只出售25%的股权，而不用出售51%股权。</w:t>
      </w:r>
    </w:p>
    <w:p>
      <w:r>
        <w:t xml:space="preserve">华夏基金对中信证券业绩影响已达到举足轻重的地步，中信证券2009年半年报显示，华夏基金基金管理费收入12.49亿元，基金销售收入6775.83万元，占中信证券营业收入的14.7%。一旦按照监管规定出售华夏基金大量股权，可能得到一次性收益，但是对中信证券长期发展影响甚大，这也是投资者普遍担心的问题。</w:t>
      </w:r>
    </w:p>
    <w:p>
      <w:r>
        <w:t xml:space="preserve">结果，6个月大限已过，华夏基金股权丝毫没变，中信证券未能履行自己的承诺，华夏基金也就成了这一股权结构问题的牺牲品。</w:t>
      </w:r>
    </w:p>
    <w:p>
      <w:r>
        <w:t xml:space="preserve">业内普遍认为，短期内华夏基金的行业老大地位难以撼动，但暂停境内公募基金产品申请仍会使华夏基金失去一些参与行业创新和竞争的机会，无疑对华夏基金显失公允。</w:t>
      </w:r>
    </w:p>
    <w:p>
      <w:r>
        <w:t xml:space="preserve">华夏基金表示，将按照监管部门要求积极配合有关方面做好工作，但中信证券在公告中未提及解决华夏基金股权问题的最新时间安排。</w:t>
      </w:r>
    </w:p>
    <w:p>
      <w:hyperlink r:id="rId34">
        <w:r>
          <w:rPr>
            <w:rStyle w:val="Link"/>
          </w:rPr>
          <w:t xml:space="preserve">来源：中国日报</w:t>
        </w:r>
      </w:hyperlink>
    </w:p>
    <w:p>
      <w:pPr>
        <w:pStyle w:val="Heading2"/>
      </w:pPr>
      <w:bookmarkStart w:id="35" w:name="房地产real-property"/>
      <w:bookmarkEnd w:id="35"/>
      <w:r>
        <w:t xml:space="preserve">房地产Real Property</w:t>
      </w:r>
    </w:p>
    <w:p>
      <w:pPr>
        <w:pStyle w:val="Heading3"/>
      </w:pPr>
      <w:bookmarkStart w:id="36" w:name="国务院出台房市11条-二套房首付不得低于40"/>
      <w:bookmarkEnd w:id="36"/>
      <w:r>
        <w:t xml:space="preserve">国务院出台房市“11条” 二套房首付不得低于40%</w:t>
      </w:r>
    </w:p>
    <w:p>
      <w:r>
        <w:t xml:space="preserve">国务院办公厅1月10日发布《关于促进房地产市场平稳健康发展的通知》，出台11条措施，明确规定对已利用贷款购买住房、又申请购买第二套(含)以上住房的家庭(包括借款人、配偶及未成年子女)，贷款首付款比例不得低于40%。</w:t>
      </w:r>
    </w:p>
    <w:p>
      <w:r>
        <w:t xml:space="preserve">这11条措施是：加快中、低价位、中小套型普通商品住房建设；增加住房建设用地有效供应，提高土地供应和开发利用效率；加大差别化信贷政策执行力度；继续实施差别化的住房税收政策；加强房地产信贷风险管理；继续整顿房地产市场秩序；进一步加强土地供应管理和商品房销售管理；加强市场监测；力争到2012年末，基本解决1540万户低收入住房困难家庭的住房问题；中央将加大对保障性安居工程建设的支持力度，适当提高对中西部地区廉租住房建设的补助标准；进一步健全和落实稳定房地产市场、解决低收入家庭住房困难问题由省级人民政府负总责，市、县人民政府抓落实的工作责任制。</w:t>
      </w:r>
    </w:p>
    <w:p>
      <w:r>
        <w:t xml:space="preserve">其中重要的一点就是，国务院此次明确地提出了“二套房贷首付四成”的政策，让之前流传的“首付五成”、“提高利率”等一系列传言一一破灭。</w:t>
      </w:r>
    </w:p>
    <w:p>
      <w:r>
        <w:t xml:space="preserve">通知明确称，对已利用贷款购买住房、又申请购买第二套（含）以上住房的家庭（包括借款人、配偶及未成年子女），贷款首付款比例不得低于40%，贷款利率严格按照风险定价。并要求加大差别化信贷政策执行力度，规定金融机构在继续支持居民首次贷款购买普通自住房的同时，要严格二套住房购房贷款管理，合理引导住房消费，抑制投资投机性购房需求。</w:t>
      </w:r>
    </w:p>
    <w:p>
      <w:r>
        <w:t xml:space="preserve">但是对于二套房贷的政策，也有不少的规避手段：比如说，先卖房后买房，还算是第一套。因为如果先卖房后买房的话，在银行的贷款记录上，还是首次置业者，并不会因此受到约束。</w:t>
      </w:r>
    </w:p>
    <w:p>
      <w:r>
        <w:t xml:space="preserve">分析认为，二套房贷首付四成并不是新政策，去年6月银监会就下发通知强调，二套房贷必须首付四成、利率1.1倍的放贷标准，并重申“二套房贷”标准不得擅自放宽，但市场上确实存在商业银行对执行二套房利率标准上的放松，以及部分银行将二套房按同首套房执行优惠利率的做法。但是，与此前的文件相比，本次通知的措辞发生变化，没有提及“改善型”二套房可以享受首套房贷的优惠。社科院金融所金融市场室副主任尹中立指出，这意味着，去年底出台的这一政策“口子”可能被封上。</w:t>
      </w:r>
    </w:p>
    <w:p>
      <w:r>
        <w:t xml:space="preserve">此外，通知同时规定，金融机构要进一步完善房地产信贷风险管理制度，严格执行信贷标准。严格执行房地产项目资本金要求，严禁对不符合信贷政策规定的房地产开发企业或开发项目发放房地产开发贷款。</w:t>
      </w:r>
    </w:p>
    <w:p>
      <w:r>
        <w:t xml:space="preserve">而在房地产企业方面，通知则要求进一步加强土地供应管理和商品房销售管理，从严控制商品住房项目单宗土地出让面积。要结合当地实际，合理确定商品住房项目预售许可的最低规模，不得分层、分单元办理预售许可。已取得预售许可的房地产开发企业，要在规定时间内一次性公开全部房源，严格按照申报价格，明码标价对外销售。进一步建立健全新建商品房、存量房交易合同网上备案制度，加大交易资金监管力度。</w:t>
      </w:r>
    </w:p>
    <w:p>
      <w:r>
        <w:t xml:space="preserve">宏源证券宏观分析师杜征征表示，这体现了国家对楼盘具体销售事项的关注，有利于房地产销售过程的透明化，消除某些开发商的自我炒作欺骗行为。</w:t>
      </w:r>
    </w:p>
    <w:p>
      <w:hyperlink r:id="rId37">
        <w:r>
          <w:rPr>
            <w:rStyle w:val="Link"/>
          </w:rPr>
          <w:t xml:space="preserve">来源：搜狐财经</w:t>
        </w:r>
      </w:hyperlink>
    </w:p>
    <w:p>
      <w:pPr>
        <w:pStyle w:val="Heading3"/>
      </w:pPr>
      <w:bookmarkStart w:id="38" w:name="上海市开展闲置土地登记追捕荒地"/>
      <w:bookmarkEnd w:id="38"/>
      <w:r>
        <w:t xml:space="preserve">上海市开展闲置土地登记“追捕”荒地</w:t>
      </w:r>
    </w:p>
    <w:p>
      <w:r>
        <w:t xml:space="preserve">上海规土局发布公告，要求要求上海辖区内凡依法取得而未开工的经营性用地和工业用地，均应登记并说明未开工原因。业内人士称，上海规土局此举能起到一定的效果，但不要有太高的预期。</w:t>
      </w:r>
    </w:p>
    <w:p>
      <w:r>
        <w:t xml:space="preserve">中新社援引国际金融报1月21日的报道称，上海市规划和国土资源管理局20日发布了《关于本市开展闲置土地登记的公告》》，要求上海辖区内凡依法取得而未开工的经营性用地和工业用地，均应登记并说明未开工原因。</w:t>
      </w:r>
    </w:p>
    <w:p>
      <w:pPr>
        <w:pStyle w:val="Heading4"/>
      </w:pPr>
      <w:bookmarkStart w:id="39" w:name="登记荒地有先例"/>
      <w:bookmarkEnd w:id="39"/>
      <w:r>
        <w:t xml:space="preserve">登记荒地有先例</w:t>
      </w:r>
    </w:p>
    <w:p>
      <w:r>
        <w:t xml:space="preserve">公告显示，闲置土地的登记截止日期为2010年3月22日。对于未按要求登记、未说明原因的建设单位，若地闲置期满1年不满2年的，须按土地出让价款的20%征收土地闲置费。而对于土地闲置满两年的，将依法无偿收回土地使用权，注销土地登记，并在诚信档案中予以记载。</w:t>
      </w:r>
    </w:p>
    <w:p>
      <w:r>
        <w:t xml:space="preserve">据了解，上海规土局开展闲置土地登记并非首次，2007年也曾尝试过。易居中国房地产分析师薛建雄表示：“每当市场供应比较紧张的时候，政府出手也会紧一点。从这上面看，此次政府意在梳理土地市场历史遗留的问题。而造成土地闲置的原因有很多，有的是由于动工前的手续繁琐、时间长导致开发时间推迟，也有因城市规划、动迁等原因造成的大量土地闲置未能开发。”</w:t>
      </w:r>
    </w:p>
    <w:p>
      <w:r>
        <w:t xml:space="preserve">薛建雄表示：“像东方海外，中新地产等差不多都是因为这些原因，项目进展不理想。最后只好卖给那种政府公关能力比较强的公司。现在如果政府方面给出了压力，一些项目的动作未来或会进展快些。”</w:t>
      </w:r>
    </w:p>
    <w:p>
      <w:pPr>
        <w:pStyle w:val="Heading4"/>
      </w:pPr>
      <w:bookmarkStart w:id="40" w:name="闲置地依然无进展"/>
      <w:bookmarkEnd w:id="40"/>
      <w:r>
        <w:t xml:space="preserve">闲置地依然无进展</w:t>
      </w:r>
    </w:p>
    <w:p>
      <w:r>
        <w:t xml:space="preserve">据了解，1月8日，上海市规土局就曾公布，拟会同相关区政府收回并督促开工8块闲置土地，总面积共66公顷。上海财经大学教授、上海市房地产经济学会副会长印堃华对《国际金融报》记者表示，“在我看来，闲置土地的登记并不是针对囤地现象，上海在房地产开发这块相较于广州、北京等地还是比较合规的。主要还是针对那些没有足够实力开发的，有的是资金方面的问题，成本封不了口、时间难保证，有的是动迁方面的问题，动迁房源供不上、动迁户漫天要价，而开发商方面难以解决。”</w:t>
      </w:r>
    </w:p>
    <w:p>
      <w:r>
        <w:t xml:space="preserve">谈到此次开展登记以及对于解决闲置土地作用的预期。某一不愿具名的分析人士指出，之前8块闲置土地公布至今已经有10多天，而据了解目前基本也都还没有开工的迹象。要想解决问题，关键还是在执行。</w:t>
      </w:r>
    </w:p>
    <w:p>
      <w:r>
        <w:t xml:space="preserve">薛建雄则表示：“倘若真能解决闲置土地问题，无疑将有效增加市场供应，对整个房地产健康发展有利。上海规土局此举虽说能起到一定的效果，但不要有太高的预期。”</w:t>
      </w:r>
    </w:p>
    <w:p>
      <w:r>
        <w:t xml:space="preserve">“其实对于‘闲置满1年征收闲置费，闲置满2年收回’的说法是一直有的，可是由于城市建设配套方面等问题，一直执行不了。”薛建雄指出，“这归根到底就是产业还在发展初期，各种配套管理体系还不完善，这已经是系统性的问题，或无法用一两个政策把它框住、解决。毕竟这些都是历史遗留下来的问题，只能慢慢的一步步解决。”</w:t>
      </w:r>
    </w:p>
    <w:p>
      <w:hyperlink r:id="rId41">
        <w:r>
          <w:rPr>
            <w:rStyle w:val="Link"/>
          </w:rPr>
          <w:t xml:space="preserve">来源:财讯网</w:t>
        </w:r>
      </w:hyperlink>
    </w:p>
    <w:p>
      <w:pPr>
        <w:pStyle w:val="Heading3"/>
      </w:pPr>
      <w:bookmarkStart w:id="42" w:name="我国拟以房屋征收和补偿条例取代拆迁条例"/>
      <w:bookmarkEnd w:id="42"/>
      <w:r>
        <w:t xml:space="preserve">我国拟以房屋征收和补偿条例取代拆迁条例</w:t>
      </w:r>
    </w:p>
    <w:p>
      <w:r>
        <w:t xml:space="preserve">昨天，8位学者获邀参加国务院法制办再次组织的座谈会，讨论的条例草案名称也由去年12月16日的《国有土地上房屋征收和拆迁补偿条例》，更名为《国有土地上房屋征收和补偿条例》。</w:t>
      </w:r>
    </w:p>
    <w:p>
      <w:r>
        <w:t xml:space="preserve">与会专家透露，即将取代《城市房屋拆迁管理条例》的新条例草案中，“拆迁”的概念即将成为历史，并由“搬迁”的概念取代。</w:t>
      </w:r>
    </w:p>
    <w:p>
      <w:r>
        <w:t xml:space="preserve">昨天的座谈会由国务院法制办副主任郜风涛主持，来自住房与城乡建设部等部门的人士参加了这次座谈会。</w:t>
      </w:r>
    </w:p>
    <w:p>
      <w:pPr>
        <w:pStyle w:val="Heading4"/>
      </w:pPr>
      <w:bookmarkStart w:id="43" w:name="拆迁概念即将成为历史"/>
      <w:bookmarkEnd w:id="43"/>
      <w:r>
        <w:t xml:space="preserve">“拆迁”概念即将成为历史</w:t>
      </w:r>
    </w:p>
    <w:p>
      <w:r>
        <w:t xml:space="preserve">参加座谈会的北大法学院副院长沈岿介绍，《国有土地上房屋征收和补偿条例》草案文本中“拆迁”一词没有再出现在文本中，转而由“搬迁”一词取代。沈岿乐观地估计，“新条例草案最快会在春节前向社会公众征求意见”。</w:t>
      </w:r>
    </w:p>
    <w:p>
      <w:r>
        <w:t xml:space="preserve">参加座谈会的北大法学院教授王锡锌说，“不管是制订的过程还是新的条例草案文本本身，都朝我们所期待的方向有了实质性的变化。”</w:t>
      </w:r>
    </w:p>
    <w:p>
      <w:r>
        <w:t xml:space="preserve">王锡锌认为，“拆迁”一词由“搬迁”取代，这“既有‘名’的变化，又有‘实’的变化”。沈岿解释说，“搬迁”的基本理念是，在“公共利益”的名义下，经过“征收”程序后，房子归政府了，拆与不拆由政府决定，可能政府还有别的用途不拆除了，但房子里住的人要搬走了。</w:t>
      </w:r>
    </w:p>
    <w:p>
      <w:pPr>
        <w:pStyle w:val="Heading4"/>
      </w:pPr>
      <w:bookmarkStart w:id="44" w:name="与会专家肯定新条例草案"/>
      <w:bookmarkEnd w:id="44"/>
      <w:r>
        <w:t xml:space="preserve">与会专家肯定新条例草案</w:t>
      </w:r>
    </w:p>
    <w:p>
      <w:r>
        <w:t xml:space="preserve">昨天，郜风涛接受记者采访时未透露座谈会内容，他表示，国务院法制办会在草案向社会征求意见时向社会做出解释。</w:t>
      </w:r>
    </w:p>
    <w:p>
      <w:r>
        <w:t xml:space="preserve">王锡锌介绍，昨天与会专家对新草案的基本框架是肯定的。而据沈岿了解，前天国务院法制办组织召开了座谈会，全国人大常委会法工委和最高院、城乡与住房建设部、工业与信息化部等部门参加了会议，这些部门对新草案的总体框架都是支持的。</w:t>
      </w:r>
    </w:p>
    <w:p>
      <w:r>
        <w:t xml:space="preserve">有8名专家参加了昨天的座谈会，除了沈岿和王锡锌，还有中国政法大学终身教授江平、中国政法大学法学院院长薛刚凌、国家行政学院教授应松年、中国人民大学副校长王利明、人大法学院副院长王轶、北大法学院教授姜明安。</w:t>
      </w:r>
    </w:p>
    <w:p>
      <w:hyperlink r:id="rId45">
        <w:r>
          <w:rPr>
            <w:rStyle w:val="Link"/>
          </w:rPr>
          <w:t xml:space="preserve">来源：中国日报</w:t>
        </w:r>
      </w:hyperlink>
    </w:p>
    <w:p>
      <w:pPr>
        <w:pStyle w:val="Heading2"/>
      </w:pPr>
      <w:bookmarkStart w:id="46" w:name="公司corporate"/>
      <w:bookmarkEnd w:id="46"/>
      <w:r>
        <w:t xml:space="preserve">公司Corporate</w:t>
      </w:r>
    </w:p>
    <w:p>
      <w:pPr>
        <w:pStyle w:val="Heading3"/>
      </w:pPr>
      <w:bookmarkStart w:id="47" w:name="google被迫向中国作家道歉"/>
      <w:bookmarkEnd w:id="47"/>
      <w:r>
        <w:t xml:space="preserve">Google被迫向中国作家道歉</w:t>
      </w:r>
    </w:p>
    <w:p>
      <w:r>
        <w:t xml:space="preserve">昨天，中国作协在其官网发布谷歌侵权案的最新进展，谷歌公司代表埃瑞克·哈特曼正式致信中国作协表示道歉，表示希望通过与文著协的谈判，圆满解决与中国作家的纠纷，并承诺只会在合法授权的情况下显示中国作家图书内文的任何整页面，承诺遵守中国作家作品未经授权不得扫描收录的要求。谷歌将于12日向文著协提交正式道歉声明。</w:t>
      </w:r>
    </w:p>
    <w:p>
      <w:r>
        <w:t xml:space="preserve">谷歌公司在信中称，谷歌在建设数字图书馆过程中，通过美国的图书馆扫描收录的在版权保护期内和公共领域的图书，这里面有部分是中国作家的作品。“谷歌是为了提供检索服务才扫描收录了这些图书，并且根据用户搜索的关键词只显示三条小片段的摘要。我们同时提供用户可以通过书店或者图书馆获取此书的链接。只有在谷歌有授权的情况下，才能显示图书的任何一整页内容。”谷歌表示，由于最初的认识不同和对中美两国版权法律制度的不同了解，他们的行为引起了中国作家的不满。“经过最近几个月的谈判和沟通，我们的确认为我们与中国的作家的沟通做得不够好。谷歌愿意为此行为向中国作家表示道歉。”</w:t>
      </w:r>
    </w:p>
    <w:p>
      <w:r>
        <w:t xml:space="preserve">此前，谷歌已提交了扫描收录中国图书的初步清单，应文著协的要求，正在加紧整理最完整的清单。谷歌公司表示希望通过与文著协的谈判，圆满解决与中国作家的纠纷。谷歌承诺在3月底前确定把处理方案及相关协议的框架，争取在第二季度把各方的法律、实施和操作细节商定并正式签署协议。</w:t>
      </w:r>
    </w:p>
    <w:p>
      <w:r>
        <w:t xml:space="preserve">中国作协党组成员、书记处书记杨承志接受央视《朝闻天下》栏目的采访时表示，对谷歌正式回应的文本，还要认真研究并广泛听取作家的意见，如果谷歌公司不能在承诺的时间内提交让中国作家满意的处理方案，中国作协会继续采取维权行动。</w:t>
      </w:r>
    </w:p>
    <w:p>
      <w:hyperlink r:id="rId48">
        <w:r>
          <w:rPr>
            <w:rStyle w:val="Link"/>
          </w:rPr>
          <w:t xml:space="preserve">来源：生活新报网</w:t>
        </w:r>
      </w:hyperlink>
    </w:p>
    <w:p>
      <w:pPr>
        <w:pStyle w:val="Heading3"/>
      </w:pPr>
      <w:bookmarkStart w:id="49" w:name="上海国企未来证券化率力争达到90"/>
      <w:bookmarkEnd w:id="49"/>
      <w:r>
        <w:t xml:space="preserve">上海国企未来证券化率力争达到90%</w:t>
      </w:r>
    </w:p>
    <w:p>
      <w:r>
        <w:t xml:space="preserve">上海市副市长艾宝俊20日指出,2009年上海整个国企利润增长了30%,下一步为促进国有资产资本化、证券化,上海将在今年3月份推出股权管理公司,力争未来实现国企证券化率达到80%至90%的目标。</w:t>
      </w:r>
    </w:p>
    <w:p>
      <w:r>
        <w:t xml:space="preserve">艾宝俊表示:“上海计划在今年3月份正式推出股权管理公司,专门管理国有股权多元化的工作,积极鼓励基金包括私募,以及其他各种资本的有效资金进入。”今年上海重头工作之一就是,继续推动国有资产资本化、证券化,积极推动上市公司通过增发、配股等方式进行市场融资,促进上市公司加快资产并购、提升资产质量。在推动国有资产证券化,国有企业整体上市和企业上市资产剥离过程中,这个股权管理平台将承担为国资委代为持股的作用,并力促国资结构优化和合理布局,满足城市重大产业项目的资金需求,推进国有企业的开放性市场化重组。</w:t>
      </w:r>
    </w:p>
    <w:p>
      <w:r>
        <w:t xml:space="preserve">“在国有股多元化过程当中,为了避免不公正、不公平,为了避免流失,我们想采用市场化,类似于发行股票的方式进行,并会在国有股市场化的转型过程中制订新方案。” 艾宝俊指出,在这一过程中,国资委定位将变为出资人,更多从企业制度进行安排,希望通过推进公司证券化进程,未来公司证券化程度能够达到80%至90%的水平,以实现对国有企业资产的监督。</w:t>
      </w:r>
    </w:p>
    <w:p>
      <w:r>
        <w:t xml:space="preserve">从2010年国资国企工作会议传来的消息称,今年上海将加大调整国资布局结构,国资国企重组工作将重点调整皮革、毛皮、木材加工、造纸及纸制品等7个行业,使上海国资涉足的行业从79个减少到72个,三年内减少到54个;加快推进国企非主业资产的调整、整合,推进20到30个破产项目进入司法程序,力争完成300户非主业企业(含壳体企业)的清理工作。在明确重点发展的支柱产业和战略新兴产业,现存诸多国资经营平台在重点企业集团独立发展及城市建设投资面临萎缩的双重挤压下,国有企业股权投资和管理工作将大有可为。</w:t>
      </w:r>
    </w:p>
    <w:p>
      <w:r>
        <w:t xml:space="preserve">艾宝俊指出,2009年通过对国资国企的重组,上海上市公司证券化水平得到极大提高,较2008年上升了8个百分点;上海共有6家企业集团健全董事会、完善法人治理结构,公司治理结构得到改善。去年上海国企全年通过增发、配股等方式,完成或启动现金融资781.05亿元,约有270.54亿元国资实现证券化,沪上国企利润增长了30%。</w:t>
      </w:r>
    </w:p>
    <w:p>
      <w:hyperlink r:id="rId50">
        <w:r>
          <w:rPr>
            <w:rStyle w:val="Link"/>
          </w:rPr>
          <w:t xml:space="preserve">来源：证券之星</w:t>
        </w:r>
      </w:hyperlink>
    </w:p>
    <w:p>
      <w:pPr>
        <w:pStyle w:val="Heading3"/>
      </w:pPr>
      <w:bookmarkStart w:id="51" w:name="外交部正式提及谷歌-称其必须尊重中国法律"/>
      <w:bookmarkEnd w:id="51"/>
      <w:r>
        <w:t xml:space="preserve">外交部正式提及谷歌 称其必须尊重中国法律</w:t>
      </w:r>
    </w:p>
    <w:p>
      <w:r>
        <w:t xml:space="preserve">据国际在线消息称，1月19日，针对谷歌因网络内容审查及黑客攻击问题扬言退出中国一事，中国外交部发言人马朝旭表示，所有外国企业，包括谷歌，都必须尊重中国的法律。</w:t>
      </w:r>
    </w:p>
    <w:p>
      <w:r>
        <w:t xml:space="preserve">马朝旭表示，他不晓得中国官方是否已与谷歌高层进行会谈，他强调“中国政府鼓励互联网发展。在中国的外国公司应当尊重中国的法律法规，尊重中国的习俗和传统，并承担相应的社会责任，当然谷歌也不例外。”</w:t>
      </w:r>
    </w:p>
    <w:p>
      <w:r>
        <w:t xml:space="preserve">外交部19日的发言，内容多半重复上周四所发表的声明，但却是中国外交部第一次在发言中正式提及谷歌。</w:t>
      </w:r>
    </w:p>
    <w:p>
      <w:r>
        <w:t xml:space="preserve">马朝旭还强调说，与其他国家一样，中国的信息网络也面临着网络攻击等破坏活动的严重威胁。可以说中国是黑客攻击的最大受害者。他说:“据统计，我国每10台连入互联网的计算机中就有8台曾经受到黑客攻击。据中国互联网协会统计，2008年，中国大陆受到来自境外的网络攻击的数量同比增长了148%。2009年7月17日，中国气象局下属的国家卫星气象中心的网站受到黑客攻击。最新的一个例子，就是2010年1月12日，中国大陆市场占有率最高的搜索引擎百度遭到自创立以来最严重的黑客攻击。中国政府坚决反对黑客攻击，坚决依法禁止黑客攻击。”</w:t>
      </w:r>
    </w:p>
    <w:p>
      <w:r>
        <w:t xml:space="preserve">1月12日，谷歌公司在其官方博客上宣布，考虑关闭中国运营及网站Google.cn。谷歌(中国)13日下午发出消息称，“目前我们正在审视这个决定，希望能够找到一个解决方案。</w:t>
      </w:r>
    </w:p>
    <w:p>
      <w:r>
        <w:t xml:space="preserve">中国外交部发言人姜瑜14日曾此事作出回应。她在举行的例行记者会上表示，中国的互联网是开放的，中国政府鼓励互联网的发展，鼓励为互联网的健康发展营造良好的环境。</w:t>
      </w:r>
    </w:p>
    <w:p>
      <w:r>
        <w:t xml:space="preserve">姜瑜表示，中国的法律禁止任何形式的黑客攻击行为。中国像其他国家一样，依法管理互联网，我们的有关管理措施符合国际通行做法。中国欢迎国际互联网企业在中国依法开展业务。</w:t>
      </w:r>
    </w:p>
    <w:p>
      <w:hyperlink r:id="rId52">
        <w:r>
          <w:rPr>
            <w:rStyle w:val="Link"/>
          </w:rPr>
          <w:t xml:space="preserve">来源：经济观察网</w:t>
        </w:r>
      </w:hyperlink>
    </w:p>
    <w:p>
      <w:pPr>
        <w:pStyle w:val="Heading2"/>
      </w:pPr>
      <w:bookmarkStart w:id="53" w:name="文化出版-culture-and-publication"/>
      <w:bookmarkEnd w:id="53"/>
      <w:r>
        <w:t xml:space="preserve">文化出版 Culture And Publication</w:t>
      </w:r>
    </w:p>
    <w:p>
      <w:pPr>
        <w:pStyle w:val="Heading3"/>
      </w:pPr>
      <w:bookmarkStart w:id="54" w:name="中国世博会或为境外出版物开绿灯"/>
      <w:bookmarkEnd w:id="54"/>
      <w:r>
        <w:t xml:space="preserve">中国世博会“或为境外出版物开绿灯”</w:t>
      </w:r>
    </w:p>
    <w:p>
      <w:r>
        <w:t xml:space="preserve">上海官员说，为了给前来参加上海世博会的海外游客带来方便，世博会组织机构愿意临时取消对外国出版物实施的禁令。</w:t>
      </w:r>
    </w:p>
    <w:p>
      <w:r>
        <w:t xml:space="preserve">上海世博会周四（1月21日）进入开幕百日倒计时阶段。目前，上海世博会已吸引全球242个国家和国际组织参展。</w:t>
      </w:r>
    </w:p>
    <w:p>
      <w:r>
        <w:t xml:space="preserve">上海世博局副局长朱咏雷在新闻发布会上表示，上海世博会将在适当的时候提出有关报告，以满足世博会参展人员和游客，特别是海外游客的需求。</w:t>
      </w:r>
    </w:p>
    <w:p>
      <w:r>
        <w:t xml:space="preserve">官方英文《中国日报》引述中国国家新闻出版局一名匿名高级官员说，在2008年北京奥运会期间实施的类似措施将作为相关指南。</w:t>
      </w:r>
    </w:p>
    <w:p>
      <w:r>
        <w:t xml:space="preserve">但这名官员透露，「尚未对此作出最后决定。在上海世博会即将到来之际，我们会做好有关安排。」</w:t>
      </w:r>
    </w:p>
    <w:p>
      <w:r>
        <w:t xml:space="preserve">上海世博会是首次由发展中国家举办的世博会，而历届世博会主办国都没有禁止外国出版物的发行。</w:t>
      </w:r>
    </w:p>
    <w:p>
      <w:r>
        <w:t xml:space="preserve">《中国日报》引述上海外国语大学新闻传播学院教授郭可说，如果上海世博会取消对外国出版物的禁令，这将是中国媒体行业的一个重大变化。</w:t>
      </w:r>
    </w:p>
    <w:p>
      <w:r>
        <w:t xml:space="preserve">郭可说，上海世博会历时六个月，比北京奥运会的时间要长许多，这对中国的国际媒体来说，将是一个“突破性进展”。</w:t>
      </w:r>
    </w:p>
    <w:p>
      <w:hyperlink r:id="rId55">
        <w:r>
          <w:rPr>
            <w:rStyle w:val="Link"/>
          </w:rPr>
          <w:t xml:space="preserve">来源：第一投资管理</w:t>
        </w:r>
      </w:hyperlink>
    </w:p>
    <w:p>
      <w:pPr>
        <w:pStyle w:val="Heading3"/>
      </w:pPr>
      <w:bookmarkStart w:id="56" w:name="网络游戏分级标准研究已上报中央-将分三个级别"/>
      <w:bookmarkEnd w:id="56"/>
      <w:r>
        <w:t xml:space="preserve">网络游戏分级标准研究已上报中央 将分三个级别</w:t>
      </w:r>
    </w:p>
    <w:p>
      <w:r>
        <w:t xml:space="preserve">受文化部委托、由北京大学文化创意产业研究院与华中师范大学共同进行的网络游戏分级标准，1月10日在第七届文化创业产业论坛上公布。该分级标准将网络游戏分为适合全年龄段、12岁以上、18岁以上三个级别。北京大学文化创意产业研究院副院长、文化部网络文化审查小组成员向勇告诉中国青年报记者，研究工作历时半年完成，现已将成果上报到中央，目前尚未得到批示。</w:t>
      </w:r>
    </w:p>
    <w:p>
      <w:r>
        <w:t xml:space="preserve">据悉，该分级标准将对网络游戏的剧本、背景、配乐、视觉特效等方面进行评估，不仅局限在对暴力、色情、粗话的甄别，还包括游戏时间限制性、文化价值观和地理历史建构等方面。从保护未成年人的立场出发，平衡内容监管和产业发展，总体上趋向比较严格的分级标准。经该标准测试的网络游戏《征途》为适合18岁以上级别。</w:t>
      </w:r>
    </w:p>
    <w:p>
      <w:r>
        <w:t xml:space="preserve">长期以来，我国对于网络游戏内容的管理以审查为主。据玩家观察，针对欧美研发的网游审查，一般是和谐画面和模型，不能太暴露、血腥，典型例子就是要求《魔兽世界》中击杀不能见血，各种技能图标不许有骷髅，一堆骨架的亡灵族也必须穿衣服；对于日韩网络游戏以清除淫秽内容为主。“但只要上网搜搜反和谐补丁，装上后基本上能恢复到原汁原味。”网友“月下飞雪”说。</w:t>
      </w:r>
    </w:p>
    <w:p>
      <w:r>
        <w:t xml:space="preserve">向勇认为，仅通过“非黑即白”的内容审查审批机制来进行内容控制和管理会非常乏力，要么起到的作用只是杯水车薪，要么就是错杀一千而不放过一个。无论是哪一种结果，都对这个市场规模已达达百亿的新兴产业发展很不利。“我们国家对分级制度一直很敏感，一说到分级就想到色情暴力，好像厂商就可以去生产色情暴力的游戏了。这是一个误导。其实分级后面对的将是一个相对细分的市场。”向勇说。</w:t>
      </w:r>
    </w:p>
    <w:p>
      <w:r>
        <w:t xml:space="preserve">实际上，自2002年开始，国内一些行业组织已经公布了一些非强制性的分级标准。“研究本身并不复杂，主要是高层对于分级这件事的判断，所以这个标准出台的期限还不能预估。可以先建议性分级，厂商自愿选择，文化部通过内容审查后，交给我们做分级测试。时机成熟后再做强制性分级。”向勇说。</w:t>
      </w:r>
    </w:p>
    <w:p>
      <w:r>
        <w:t xml:space="preserve">据文化部文化产业司网络文化处处长刘强介绍，目前对网游内容、功能适用人群进行指引和标准的工作已经在上海试点推动。</w:t>
      </w:r>
    </w:p>
    <w:p>
      <w:hyperlink r:id="rId57">
        <w:r>
          <w:rPr>
            <w:rStyle w:val="Link"/>
          </w:rPr>
          <w:t xml:space="preserve">来源：南方网</w:t>
        </w:r>
      </w:hyperlink>
    </w:p>
    <w:p>
      <w:pPr>
        <w:pStyle w:val="Heading2"/>
      </w:pPr>
      <w:bookmarkStart w:id="58" w:name="其他-others"/>
      <w:bookmarkEnd w:id="58"/>
      <w:r>
        <w:t xml:space="preserve">其他 Others</w:t>
      </w:r>
    </w:p>
    <w:p>
      <w:pPr>
        <w:pStyle w:val="Heading3"/>
      </w:pPr>
      <w:bookmarkStart w:id="59" w:name="国务院修改并重新公布专利法实施细则-下月施行"/>
      <w:bookmarkEnd w:id="59"/>
      <w:r>
        <w:t xml:space="preserve">国务院修改并重新公布专利法实施细则 下月施行</w:t>
      </w:r>
    </w:p>
    <w:p>
      <w:r>
        <w:t xml:space="preserve">国务院总理温家宝日前签署第569号国务院令，公布《国务院关于修改〈中华人民共和国专利法实施细则〉的决定》，《中华人民共和国专利法实施细则》根据这个决定作相应的修改，重新公布。</w:t>
      </w:r>
    </w:p>
    <w:p>
      <w:r>
        <w:t xml:space="preserve">《国务院关于修改〈中华人民共和国专利法实施细则〉的决定》自2010年2月1日起施行。修改后的《中华人民共和国专利法实施细则》共十一章一百二十三条。</w:t>
      </w:r>
    </w:p>
    <w:p>
      <w:r>
        <w:t xml:space="preserve">修改后的《实施细则》规定，专利法第二十条所称在中国完成的发明或者实用新型，是指技术方案的实质性内容在中国境内完成的发明或者实用新型。任何单位或者个人将在中国完成的发明或者实用新型向外国申请专利的，应当按照下列方式之一请求国务院专利行政部门进行保密审查：(一)直接向外国申请专利或者向有关国外机构提交专利国际申请的，应当事先向国务院专利行政部门提出请求，并详细说明其技术方案；(二)向国务院专利行政部门申请专利后拟向外国申请专利或者向有关国外机构提交专利国际申请的，应当在向外国申请专利或者向有关国外机构提交专利国际申请前向国务院专利行政部门提出请求。向国务院专利行政部门提交专利国际申请的，视为同时提出了保密审查请求。</w:t>
      </w:r>
    </w:p>
    <w:p>
      <w:r>
        <w:t xml:space="preserve">修改后的《实施细则》规定，下列行为属于专利法第六十三条规定的假冒专利的行为：(一)在未被授予专利权的产品或者其包装上标注专利标识，专利权被宣告无效后或者终止后继续在产品或者其包装上标注专利标识，或者未经许可在产品或者产品包装上标注他人的专利号；(二)销售第(一)项所述产品；(三)在产品说明书等材料中将未被授予专利权的技术或者设计称为专利技术或者专利设计，将专利申请称为专利，或者未经许可使用他人的专利号，使公众将所涉及的技术或者设计误认为是专利技术或者专利设计；(四)伪造或者变造专利证书、专利文件或者专利申请文件；(五)其他使公众混淆，将未被授予专利权的技术或者设计误认为是专利技术或者专利设计的行为。</w:t>
      </w:r>
    </w:p>
    <w:p>
      <w:r>
        <w:t xml:space="preserve">修改后的《实施细则》规定，专利权终止前依法在专利产品、依照专利方法直接获得的产品或者其包装上标注专利标识，在专利权终止后许诺销售、销售该产品的，不属于假冒专利行为。销售不知道是假冒专利的产品，并且能够证明该产品合法来源的，由管理专利工作的部门责令停止销售，但免除罚款的处罚。</w:t>
      </w:r>
    </w:p>
    <w:p>
      <w:hyperlink r:id="rId60">
        <w:r>
          <w:rPr>
            <w:rStyle w:val="Link"/>
          </w:rPr>
          <w:t xml:space="preserve">来源：第一财经</w:t>
        </w:r>
      </w:hyperlink>
    </w:p>
    <w:p>
      <w:pPr>
        <w:pStyle w:val="Heading3"/>
      </w:pPr>
      <w:bookmarkStart w:id="61" w:name="中国拟规定政府采购者须回避三代血亲引发热议"/>
      <w:bookmarkEnd w:id="61"/>
      <w:r>
        <w:t xml:space="preserve">中国拟规定政府采购者须回避三代血亲引发热议</w:t>
      </w:r>
    </w:p>
    <w:p>
      <w:r>
        <w:t xml:space="preserve">国家最新发布《政府采购法实施条例》征求意见稿规定，政府采购人员及相关人员若与供应商有三代血亲关系的必须回避，昨日，消息经媒体报道后引起了争议，有网友直呼规定“无聊”。不过政府采购专家指出，条例对政府采购人员与供应商的“利害关系”作出的规定已经明确了很多，其他国家和地区也有类似的规定。</w:t>
      </w:r>
    </w:p>
    <w:p>
      <w:r>
        <w:t xml:space="preserve">2003年实施的《政府采购法》规定政府采购人员及相关人员有利害关系的，必须回避。但并没有明确何谓“利害关系”。而最新发布的《实施条例》征求意见稿则给“利害关系”以规定。</w:t>
      </w:r>
    </w:p>
    <w:p>
      <w:r>
        <w:t xml:space="preserve">昨日，“中国拟规定政府采购者与供应商不得有三代血亲”的消息经报道后，引起了网友的热议。在某个大型门户网站，大部分回帖网友直呼“无聊”。浙江宁波网友“轻风飞扬”说：“这样规定有用吗？他完全可以利用自己的人联系供应商啊，可以商定提成啊。问题是如何确保投竞标的公平与公正，如何从重处罚在采购方面的犯罪。”</w:t>
      </w:r>
    </w:p>
    <w:p>
      <w:r>
        <w:t xml:space="preserve">山西网友“w590916_ymbjk”则说，除姻亲关系外，朋友、战友、同学的互信关系有的比亲兄弟还好，“如何防范？”</w:t>
      </w:r>
    </w:p>
    <w:p>
      <w:r>
        <w:t xml:space="preserve">还有网友担心不能执行，福建福州网友“qiecaobao”说：“国家的出发点都是好的，执行起来都被那些腐败分子钻了空子。”</w:t>
      </w:r>
    </w:p>
    <w:p>
      <w:r>
        <w:t xml:space="preserve">政府采购专家、中央财经大学政府管理学院教授徐焕东昨日对本报记者表示，《实施条例》曾经在2005年的时候征求过一次意见，当时规定太粗，最终没有出台，而这次的征求意见稿相比来说明确了很多，比如对政府采购中的“本国货物”的界定，以及一直没有明确的“利害关系”等，都加以明确。</w:t>
      </w:r>
    </w:p>
    <w:p>
      <w:r>
        <w:t xml:space="preserve">至于对三代血亲、姻亲关系的规定的质疑，他表示，在许多国家和地区，政府采购法律系统都有对姻亲关系需回避的规定，这是正常的规定，“比如台湾对姻亲关系的规定更加严格。”</w:t>
      </w:r>
    </w:p>
    <w:p>
      <w:r>
        <w:t xml:space="preserve">那么老部下、学生、同学、同乡等关系是否也算“利害关系”？徐焕东表示，目前征求意见就是让大家都可以讨论，但如果都将上述关系列举为“利害关系”，则太过泛，“法律不能规定得那么清”。</w:t>
      </w:r>
    </w:p>
    <w:p>
      <w:hyperlink r:id="rId62">
        <w:r>
          <w:rPr>
            <w:rStyle w:val="Link"/>
          </w:rPr>
          <w:t xml:space="preserve">来源：人民网</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3">
        <w:r>
          <w:rPr>
            <w:rStyle w:val="Link"/>
          </w:rPr>
          <w:t xml:space="preserve">unsubscribe@charltonslaw.com</w:t>
        </w:r>
      </w:hyperlink>
    </w:p>
    <w:p>
      <w:r>
        <w:rPr>
          <w:b/>
        </w:rPr>
        <w:t xml:space="preserve">易周律师行 - 法讯 - 中国 - 第323期 - 2010年01月22日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25dace6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7" Target="http://business.sohu.com/20100111/n269492108.shtml" TargetMode="External" /><Relationship Type="http://schemas.openxmlformats.org/officeDocument/2006/relationships/hyperlink" Id="rId41" Target="http://content.caixun.com/NE/01/pd/NE01pd5h.shtm" TargetMode="External" /><Relationship Type="http://schemas.openxmlformats.org/officeDocument/2006/relationships/hyperlink" Id="rId57" Target="http://economy.southcn.com/e/2010-01/14/content_8123403.htm" TargetMode="External" /><Relationship Type="http://schemas.openxmlformats.org/officeDocument/2006/relationships/hyperlink" Id="rId50" Target="http://news.stockstar.com/info/darticle.aspx?id=JL,20100122,00000316&amp;columnid=947#" TargetMode="External" /><Relationship Type="http://schemas.openxmlformats.org/officeDocument/2006/relationships/hyperlink" Id="rId27" Target="http://news.xinhuanet.com/fortune/2010-01/12/content_12793297.htm" TargetMode="External" /><Relationship Type="http://schemas.openxmlformats.org/officeDocument/2006/relationships/hyperlink" Id="rId62" Target="http://npc.people.com.cn/GB/10771283.html" TargetMode="External" /><Relationship Type="http://schemas.openxmlformats.org/officeDocument/2006/relationships/hyperlink" Id="rId32" Target="http://www.21cbh.com/HTML/2010-1-12/161716.html" TargetMode="External" /><Relationship Type="http://schemas.openxmlformats.org/officeDocument/2006/relationships/hyperlink" Id="rId55" Target="http://www.astars.com.cn/a/shenrubaodao/2010/0121/3236.html" TargetMode="External" /><Relationship Type="http://schemas.openxmlformats.org/officeDocument/2006/relationships/hyperlink" Id="rId21" Target="http://www.charltonslaw.com.cn/china-news-alerts-cn-issue-323/" TargetMode="External" /><Relationship Type="http://schemas.openxmlformats.org/officeDocument/2006/relationships/hyperlink" Id="rId60" Target="http://www.china-cbn.com/s/n/000000/20100118/000000145879.shtml" TargetMode="External" /><Relationship Type="http://schemas.openxmlformats.org/officeDocument/2006/relationships/hyperlink" Id="rId45" Target="http://www.chinadaily.com.cn/dfpd/2010-01/21/content_9352191.htm" TargetMode="External" /><Relationship Type="http://schemas.openxmlformats.org/officeDocument/2006/relationships/hyperlink" Id="rId34" Target="http://www.chinadaily.com.cn/hqcj/2010-01/18/content_9334758.htm" TargetMode="External" /><Relationship Type="http://schemas.openxmlformats.org/officeDocument/2006/relationships/hyperlink" Id="rId25" Target="http://www.csrc.gov.cn/pub/newsite/bgt/xwdd/201001/t20100108_175267.htm" TargetMode="External" /><Relationship Type="http://schemas.openxmlformats.org/officeDocument/2006/relationships/hyperlink" Id="rId52" Target="http://www.eeo.com.cn/Politics/beijing_news/2010/01/19/161080.shtml" TargetMode="External" /><Relationship Type="http://schemas.openxmlformats.org/officeDocument/2006/relationships/hyperlink" Id="rId29" Target="http://www.guzhiwang.com/html/201001/15/20100115095456.htm" TargetMode="External" /><Relationship Type="http://schemas.openxmlformats.org/officeDocument/2006/relationships/hyperlink" Id="rId48" Target="http://www.shxb.net/html/20100111/20100111_223037.shtml" TargetMode="External" /><Relationship Type="http://schemas.openxmlformats.org/officeDocument/2006/relationships/hyperlink" Id="rId6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37" Target="http://business.sohu.com/20100111/n269492108.shtml" TargetMode="External" /><Relationship Type="http://schemas.openxmlformats.org/officeDocument/2006/relationships/hyperlink" Id="rId41" Target="http://content.caixun.com/NE/01/pd/NE01pd5h.shtm" TargetMode="External" /><Relationship Type="http://schemas.openxmlformats.org/officeDocument/2006/relationships/hyperlink" Id="rId57" Target="http://economy.southcn.com/e/2010-01/14/content_8123403.htm" TargetMode="External" /><Relationship Type="http://schemas.openxmlformats.org/officeDocument/2006/relationships/hyperlink" Id="rId50" Target="http://news.stockstar.com/info/darticle.aspx?id=JL,20100122,00000316&amp;columnid=947#" TargetMode="External" /><Relationship Type="http://schemas.openxmlformats.org/officeDocument/2006/relationships/hyperlink" Id="rId27" Target="http://news.xinhuanet.com/fortune/2010-01/12/content_12793297.htm" TargetMode="External" /><Relationship Type="http://schemas.openxmlformats.org/officeDocument/2006/relationships/hyperlink" Id="rId62" Target="http://npc.people.com.cn/GB/10771283.html" TargetMode="External" /><Relationship Type="http://schemas.openxmlformats.org/officeDocument/2006/relationships/hyperlink" Id="rId32" Target="http://www.21cbh.com/HTML/2010-1-12/161716.html" TargetMode="External" /><Relationship Type="http://schemas.openxmlformats.org/officeDocument/2006/relationships/hyperlink" Id="rId55" Target="http://www.astars.com.cn/a/shenrubaodao/2010/0121/3236.html" TargetMode="External" /><Relationship Type="http://schemas.openxmlformats.org/officeDocument/2006/relationships/hyperlink" Id="rId21" Target="http://www.charltonslaw.com.cn/china-news-alerts-cn-issue-323/" TargetMode="External" /><Relationship Type="http://schemas.openxmlformats.org/officeDocument/2006/relationships/hyperlink" Id="rId60" Target="http://www.china-cbn.com/s/n/000000/20100118/000000145879.shtml" TargetMode="External" /><Relationship Type="http://schemas.openxmlformats.org/officeDocument/2006/relationships/hyperlink" Id="rId45" Target="http://www.chinadaily.com.cn/dfpd/2010-01/21/content_9352191.htm" TargetMode="External" /><Relationship Type="http://schemas.openxmlformats.org/officeDocument/2006/relationships/hyperlink" Id="rId34" Target="http://www.chinadaily.com.cn/hqcj/2010-01/18/content_9334758.htm" TargetMode="External" /><Relationship Type="http://schemas.openxmlformats.org/officeDocument/2006/relationships/hyperlink" Id="rId25" Target="http://www.csrc.gov.cn/pub/newsite/bgt/xwdd/201001/t20100108_175267.htm" TargetMode="External" /><Relationship Type="http://schemas.openxmlformats.org/officeDocument/2006/relationships/hyperlink" Id="rId52" Target="http://www.eeo.com.cn/Politics/beijing_news/2010/01/19/161080.shtml" TargetMode="External" /><Relationship Type="http://schemas.openxmlformats.org/officeDocument/2006/relationships/hyperlink" Id="rId29" Target="http://www.guzhiwang.com/html/201001/15/20100115095456.htm" TargetMode="External" /><Relationship Type="http://schemas.openxmlformats.org/officeDocument/2006/relationships/hyperlink" Id="rId48" Target="http://www.shxb.net/html/20100111/20100111_223037.shtml" TargetMode="External" /><Relationship Type="http://schemas.openxmlformats.org/officeDocument/2006/relationships/hyperlink" Id="rId6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第323期 - 2010年01月22日</dc:title>
  <dc:creator/>
</cp:coreProperties>
</file>