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第325期</w:t>
      </w:r>
      <w:r>
        <w:t xml:space="preserve"> </w:t>
      </w:r>
      <w:r>
        <w:t xml:space="preserve">-</w:t>
      </w:r>
      <w:r>
        <w:t xml:space="preserve"> </w:t>
      </w:r>
      <w:r>
        <w:t xml:space="preserve">2010年02月08日</w:t>
      </w:r>
    </w:p>
    <w:p>
      <w:hyperlink r:id="rId21">
        <w:r>
          <w:rPr>
            <w:rStyle w:val="Link"/>
          </w:rPr>
          <w:t xml:space="preserve">网络版</w:t>
        </w:r>
      </w:hyperlink>
    </w:p>
    <w:p>
      <w:pPr>
        <w:pStyle w:val="Heading1"/>
      </w:pPr>
      <w:bookmarkStart w:id="22" w:name="法讯中国第325期"/>
      <w:bookmarkEnd w:id="22"/>
      <w:r>
        <w:t xml:space="preserve">法讯中国第325期</w:t>
      </w:r>
    </w:p>
    <w:p>
      <w:pPr>
        <w:pStyle w:val="Heading2"/>
      </w:pPr>
      <w:bookmarkStart w:id="23" w:name="资本市场-capital-markets"/>
      <w:bookmarkEnd w:id="23"/>
      <w:r>
        <w:t xml:space="preserve">资本市场 Capital Markets</w:t>
      </w:r>
    </w:p>
    <w:p>
      <w:pPr>
        <w:pStyle w:val="Heading3"/>
      </w:pPr>
      <w:bookmarkStart w:id="24" w:name="传中投9.56亿美元投资英私募"/>
      <w:bookmarkEnd w:id="24"/>
      <w:r>
        <w:t xml:space="preserve">传中投9.56亿美元投资英私募</w:t>
      </w:r>
    </w:p>
    <w:p>
      <w:r>
        <w:t xml:space="preserve">中投公司2010年的投资热情丝毫没有减弱。</w:t>
      </w:r>
    </w:p>
    <w:p>
      <w:r>
        <w:t xml:space="preserve">近期，有消息传出中国投资有限责任公司（以下简称中投公司）已经敲定对英国私募股权基金ApaxPartners价值9.56亿美元的投资交易。</w:t>
      </w:r>
    </w:p>
    <w:p>
      <w:r>
        <w:t xml:space="preserve">该消息称，中投公司计划对Apax旗下规模112亿欧元资产的基金进行投资。此外，Apax与中投公司的交易已经获得英国金融服务管理局批准，中投公司还可能收购Apax2.3%的股权。</w:t>
      </w:r>
    </w:p>
    <w:p>
      <w:r>
        <w:t xml:space="preserve">2010年中投公司的投资热情或许源于去年的可观收益。</w:t>
      </w:r>
    </w:p>
    <w:p>
      <w:r>
        <w:t xml:space="preserve">2009年金融危机爆发，但这并没有打乱中投公司海外投资的步伐，相反，中投海外投资的进度逐步加快。“今年二季度以来，金融市场逐步趋稳，实体经济下滑的速度放缓，市场信心开始回升。为了把握有利的投资时机，我们通过分散投资时点，在资产类型控制整体风险的基础之上加快了投资进度。”中投公司董事长楼继伟此前在2009清华管理全球论坛上说。</w:t>
      </w:r>
    </w:p>
    <w:p>
      <w:r>
        <w:t xml:space="preserve">去年，中投公司相继完成了多宗大型跨国交易。尤其自去年9月份开始的两个月内，中投公司总投资额达到近400亿元人民币。而且中投公司的投资策略也从逐步转向多样化，投资范围更多涵盖金融以外的资源和大宗商品等实业领域。</w:t>
      </w:r>
    </w:p>
    <w:p>
      <w:r>
        <w:t xml:space="preserve">近期，有媒体报道，由于全球经济的企稳回升和金融市场的反弹，中投公司2009年全年投资回购可能超过10%。</w:t>
      </w:r>
    </w:p>
    <w:p>
      <w:r>
        <w:t xml:space="preserve">去年10月份，中投公司董事长楼继伟也曾公开说，“目前看，回报还不错。我们正在做再平衡的准备工作，争取回报好一点。”</w:t>
      </w:r>
    </w:p>
    <w:p>
      <w:r>
        <w:t xml:space="preserve">此外，楼继伟在2009清华管理全球论坛上称，目前中投境外金融产品累计投放资金大约占到境外总投资资金量的一半。随后，中投还相继进行了多笔投资，市场估计，中投今年的投资总额将比去年增加近10倍。</w:t>
      </w:r>
    </w:p>
    <w:p>
      <w:hyperlink r:id="rId25">
        <w:r>
          <w:rPr>
            <w:rStyle w:val="Link"/>
          </w:rPr>
          <w:t xml:space="preserve">来源：凤凰网</w:t>
        </w:r>
      </w:hyperlink>
    </w:p>
    <w:p>
      <w:pPr>
        <w:pStyle w:val="Heading3"/>
      </w:pPr>
      <w:bookmarkStart w:id="26" w:name="中集集团拟7500万美元收购fg公司75股权"/>
      <w:bookmarkEnd w:id="26"/>
      <w:r>
        <w:t xml:space="preserve">中集集团拟7,500万美元收购F&amp;G公司75%股权</w:t>
      </w:r>
    </w:p>
    <w:p>
      <w:r>
        <w:t xml:space="preserve">[世华财讯]中集集团拟以7,500万美元的价格收购F&amp;G公司75%股权。本次收购有利于公司海洋工程业务发展战略的推进和实施；有利于公司海洋工程业务的市场拓展等。</w:t>
      </w:r>
    </w:p>
    <w:p>
      <w:r>
        <w:t xml:space="preserve">中集集团 (000039：13.43，-0.1，↓-1.32)，中集B(200039)2月2日发布公告称，公司于近日与俄罗斯MNP集团已经达成意向，拟以7,500万美元的价格收购Friede Goldman United（F&amp;G）公司75%股权。</w:t>
      </w:r>
    </w:p>
    <w:p>
      <w:r>
        <w:t xml:space="preserve">本次股权收购有利于公司海洋工程业务发展战略的推进和实施；有利于公司海洋工程业务的市场拓展；有利于烟台莱佛士公司突破现有设计瓶颈，加快在手订单交付；有利于提高公司海工的供应链管理能力。</w:t>
      </w:r>
    </w:p>
    <w:p>
      <w:r>
        <w:t xml:space="preserve">Freide &amp; Goldman，其前身成立于1946年，总部位于美国休斯敦。F&amp;G公司曾是美国Freide Goldman Halter集团海洋工程设计部门，2002 年Freide Goldman Halter集团破产后，该设计部门独立。美国F&amp;G公司目前是全球海洋工程移动式钻井平台领先设计商，其主要从事海洋工程平台设计和平台配套设备设计、制造业务，拥有超过60年海洋工程平台设计经验。到目前为止全世界有超过100 个海上作业平台是由F&amp;G设计的。</w:t>
      </w:r>
    </w:p>
    <w:p>
      <w:hyperlink r:id="rId27">
        <w:r>
          <w:rPr>
            <w:rStyle w:val="Link"/>
          </w:rPr>
          <w:t xml:space="preserve">来源：财讯</w:t>
        </w:r>
      </w:hyperlink>
    </w:p>
    <w:p>
      <w:pPr>
        <w:pStyle w:val="Heading3"/>
      </w:pPr>
      <w:bookmarkStart w:id="28" w:name="澳门去年出口疲弱-商家冀拓展内地市场"/>
      <w:bookmarkEnd w:id="28"/>
      <w:r>
        <w:t xml:space="preserve">澳门去年出口疲弱 商家冀拓展内地市场</w:t>
      </w:r>
    </w:p>
    <w:p>
      <w:r>
        <w:t xml:space="preserve">中新社澳门2月2日电(记者 龙土有)2009年澳门出口表现疲弱，有关业内人士表示，澳门应该着力发展经贸平台，向内地二三线城市推广经澳门入口的商品。</w:t>
      </w:r>
    </w:p>
    <w:p>
      <w:r>
        <w:t xml:space="preserve">据澳门统计局今天公布的数字显示，澳门2009年全年的出口货值同比下跌五成二，仅为76.7亿元，其中本地产品出口减少近七成，再出口货值减少两成七；进口货值亦下跌一成四。去年全年货物贸易逆差扩大至292亿，出进口比率跌至20.8%，较08年下降16.4个百分点。</w:t>
      </w:r>
    </w:p>
    <w:p>
      <w:r>
        <w:t xml:space="preserve">澳门出入口商会理事长徐伟坤对记者说，受全球金融危机的影响，去年出口表现不理想属意料之中的事情，业界正与特区政府商讨，研究在内地部分二三线城市设置定点展示平台，推动本澳贸易的特色产品。</w:t>
      </w:r>
    </w:p>
    <w:p>
      <w:r>
        <w:t xml:space="preserve">徐伟坤认为，澳门未来应该朝贸易平台功能方向发展，澳门贸易的不少特色产品，例如葡萄酒、进口食品等在内地颇受欢迎，仍有很大的拓展空间。</w:t>
      </w:r>
    </w:p>
    <w:p>
      <w:r>
        <w:t xml:space="preserve">徐伟坤表示，澳门特区政府也认为可行和支持计划，但现阶段仍有部分技术问题，例如通关便利化等问题亟待解决，业界期望今年内可实行。</w:t>
      </w:r>
    </w:p>
    <w:p>
      <w:hyperlink r:id="rId29">
        <w:r>
          <w:rPr>
            <w:rStyle w:val="Link"/>
          </w:rPr>
          <w:t xml:space="preserve">来源：中国台湾网</w:t>
        </w:r>
      </w:hyperlink>
    </w:p>
    <w:p>
      <w:pPr>
        <w:pStyle w:val="Heading2"/>
      </w:pPr>
      <w:bookmarkStart w:id="30" w:name="公司与商业-corporate-commercial"/>
      <w:bookmarkEnd w:id="30"/>
      <w:r>
        <w:t xml:space="preserve">公司与商业 Corporate &amp; Commercial</w:t>
      </w:r>
    </w:p>
    <w:p>
      <w:pPr>
        <w:pStyle w:val="Heading3"/>
      </w:pPr>
      <w:bookmarkStart w:id="31" w:name="李稻葵2010市场是个调整年-姚景源经济二次探底风险低"/>
      <w:bookmarkEnd w:id="31"/>
      <w:r>
        <w:t xml:space="preserve">李稻葵：2010市场是个调整年 姚景源：经济二次探底风险低</w:t>
      </w:r>
    </w:p>
    <w:p>
      <w:r>
        <w:t xml:space="preserve">国家统计局总经济师姚景源在2日举行的“2010中国经济新春论坛”上指出，如果说2009年我国面临的重大问题是保增长，那么2010年要把更多的精力放在经济增长的质量和效率上。</w:t>
      </w:r>
    </w:p>
    <w:p>
      <w:r>
        <w:t xml:space="preserve">姚景源指出，2009年我国国内生产总值增长率8.7％，而根据世界银行和国际货币基金组织等的预测数字，美国、欧洲、日本经济2009年都是负增长，世界经济负增长2％左右，2009年中国经济实现了V型反转。</w:t>
      </w:r>
    </w:p>
    <w:p>
      <w:r>
        <w:t xml:space="preserve">但姚景源指出，一方面中国经济现在处在企稳回升的状态，但是另外一方面外部需求仍然带有不确定性，我们自身也有不少深层次的问题和矛盾，并没有得到根本性的解决。</w:t>
      </w:r>
    </w:p>
    <w:p>
      <w:r>
        <w:t xml:space="preserve">姚景源表示，2010年我国在保持宏观政策的连续性和稳定性基础上，要更注重政策的灵活性和针对性，如果说2009年我国的重大问题是保增长来保住就业，那么2010年我国应当把更多的精力放在增长质量和效率上。</w:t>
      </w:r>
    </w:p>
    <w:p>
      <w:r>
        <w:t xml:space="preserve">“对于经济二次探底，风险应当说是有，但是总体来说2010年我国经济增速不会跌到8％以下，因此2010年更重要的是经济增长的质量和效益。”姚景源指出，宏观政策要在灵活性和针对性上下工夫。（上海证券报）</w:t>
      </w:r>
    </w:p>
    <w:p>
      <w:hyperlink r:id="rId32">
        <w:r>
          <w:rPr>
            <w:rStyle w:val="Link"/>
          </w:rPr>
          <w:t xml:space="preserve">来源：中国证券网</w:t>
        </w:r>
      </w:hyperlink>
    </w:p>
    <w:p>
      <w:pPr>
        <w:pStyle w:val="Heading3"/>
      </w:pPr>
      <w:bookmarkStart w:id="33" w:name="美航空航天业担心中国制裁声浪影响美经济复苏"/>
      <w:bookmarkEnd w:id="33"/>
      <w:r>
        <w:t xml:space="preserve">美航空航天业担心中国制裁声浪影响美经济复苏</w:t>
      </w:r>
    </w:p>
    <w:p>
      <w:r>
        <w:t xml:space="preserve">环球网2月1日报道，针对美国政府对台军售一事，中方1月30日、31日两天内密集作出强烈回应，要求美方停止对台军售，并表示将对参与售台武器的美国公司实施制裁。据外媒报道，美国航空航天业高管和美国政府昨日对中国制裁表示关切。</w:t>
      </w:r>
    </w:p>
    <w:p>
      <w:r>
        <w:t xml:space="preserve">据英国《金融时报》报道，全球民航业组织——国际航空运输协会(IATA)的总干事乔瓦尼·比西尼亚尼(Giovanni Bisignani)呼吁中美展开新的磋商，以防军售引发危机。</w:t>
      </w:r>
    </w:p>
    <w:p>
      <w:r>
        <w:t xml:space="preserve">他称：“值此世界陷于危机、而中国在克服危机并推动复苏方面正扮演一个非常重要的角色之际，（如果实施制裁），将带来一个非常、非常艰难和不幸的局面，”。</w:t>
      </w:r>
    </w:p>
    <w:p>
      <w:r>
        <w:t xml:space="preserve">据称，了解情况的一名航空航天业高管表示，中国显然在“展示实力”，在面对制裁威胁的美国公司中，“波音将感受到最大压力”。分析称，中国政府对飞机采购实行统一管理，政治因素以前就对此产生过影响。</w:t>
      </w:r>
    </w:p>
    <w:p>
      <w:r>
        <w:t xml:space="preserve">波音估计，到2028年，中国将需要3770架新飞机，价值高达4000亿美元。过去3年，波音的总收入中，有大约4%来自中国。</w:t>
      </w:r>
    </w:p>
    <w:p>
      <w:r>
        <w:t xml:space="preserve">空客(Airbus)31日拒绝置评。该公司在中国开展了商用飞机业务，但没有涉及防务业务。</w:t>
      </w:r>
    </w:p>
    <w:p>
      <w:r>
        <w:t xml:space="preserve">《环球时报》记者2月1日上午致电波音中国公司。波音中国公司传播事务副总裁王玉奎在回应有关“军售制裁”问题时说：“波音公司在国际军事防务领域上任何武器的销售是由美国政府决定的。”他表示，至于波音中国是否已接到“制裁”或与中国政府就此进行沟通等问题，目前不便做出回应。</w:t>
      </w:r>
    </w:p>
    <w:p>
      <w:hyperlink r:id="rId34">
        <w:r>
          <w:rPr>
            <w:rStyle w:val="Link"/>
          </w:rPr>
          <w:t xml:space="preserve">来源：环球网</w:t>
        </w:r>
      </w:hyperlink>
    </w:p>
    <w:p>
      <w:pPr>
        <w:pStyle w:val="Heading3"/>
      </w:pPr>
      <w:bookmarkStart w:id="35" w:name="商务部贸易保护主义严影响中美经贸关系稳定发展"/>
      <w:bookmarkEnd w:id="35"/>
      <w:r>
        <w:t xml:space="preserve">商务部：贸易保护主义严影响中美经贸关系稳定发展</w:t>
      </w:r>
    </w:p>
    <w:p>
      <w:r>
        <w:t xml:space="preserve">商务部新闻发言人姚坚昨日发表谈话指出，当前贸易保护主义严重影响中美经贸关系的稳定发展，美方应充分认识到问题的严重性，认真履行承诺，不再滥用贸易救济措施，不搞贸易保护主义，切实维护中美经贸关系大局。他透露，中国国务院常务会议日前专门研究确定了进一步扩大对外开放、提高利用外资工作水平的一系列政策措施，这必将为境外投资者来华投资创造更加有利的条件。</w:t>
      </w:r>
    </w:p>
    <w:p>
      <w:r>
        <w:t xml:space="preserve">对于近期美国商务部主要负责人对中国在市场开放和外商投资方面设置障碍的指责，姚坚指出，这种说法完全背离事实。他强调，金融危机爆发后，美国贸易保护主义明显抬头，中国已成为美国滥用贸易救济措施的最大受害者。一些人试图把美国国内矛盾和经济问题转嫁给其他国家，这既不负责任，也于事无补。他表示，现在一些国家搞贸易保护主义，却反过来指责别人，这不仅完全没有道理，也不利于其国内经济的复苏。</w:t>
      </w:r>
    </w:p>
    <w:p>
      <w:hyperlink r:id="rId36">
        <w:r>
          <w:rPr>
            <w:rStyle w:val="Link"/>
          </w:rPr>
          <w:t xml:space="preserve">来源：中金在线</w:t>
        </w:r>
      </w:hyperlink>
    </w:p>
    <w:p>
      <w:pPr>
        <w:pStyle w:val="Heading3"/>
      </w:pPr>
      <w:bookmarkStart w:id="37" w:name="大龙地产2亿损失谁来买单-中小股民应积极维权"/>
      <w:bookmarkEnd w:id="37"/>
      <w:r>
        <w:t xml:space="preserve">大龙地产2亿损失谁来买单 中小股民应积极维权</w:t>
      </w:r>
    </w:p>
    <w:p>
      <w:r>
        <w:t xml:space="preserve">“政府终于出拳了，而且是一记重拳。”北京联达四方房地产公司总经理杨少锋这样对记者表示。2月1日，围绕大龙地产[15.81 -7.60%]的一出闹剧终于暂时收场。由于逾期未签订有关土地出让合同，北京市国土局决定收回大龙房地产开发有限公司2009年11月竞得的顺义“地王”天竺22号地，同时对大龙公司已经交纳的2亿元竞买保证金不予退还。</w:t>
      </w:r>
    </w:p>
    <w:p>
      <w:pPr>
        <w:pStyle w:val="Heading4"/>
      </w:pPr>
      <w:bookmarkStart w:id="38" w:name="大龙股东每股现金损失0.48元"/>
      <w:bookmarkEnd w:id="38"/>
      <w:r>
        <w:t xml:space="preserve">大龙股东每股现金损失0.48元</w:t>
      </w:r>
    </w:p>
    <w:p>
      <w:r>
        <w:t xml:space="preserve">而受大龙地产保证金被罚没影响最大的还是众多持有大龙地产的股东。</w:t>
      </w:r>
    </w:p>
    <w:p>
      <w:r>
        <w:t xml:space="preserve">根据大龙地产2009年年报显示，截至去年年末其股东数量为34976户，也就是说如果按总股本来计算，大龙全流动的4.15亿股每股损失也达0.48元。</w:t>
      </w:r>
    </w:p>
    <w:p>
      <w:r>
        <w:t xml:space="preserve">而让众多股民损失真金白银的同时，大龙地产2009年的年报仍然没有现金分红的计划。也就是说，在荒谬决策给所有股东带来实际损失后，大龙地产连续6年没有吐出一分现金。</w:t>
      </w:r>
    </w:p>
    <w:p>
      <w:r>
        <w:t xml:space="preserve">并且股东实际损失还不止这些，由于此前大龙的资金来源就受到广泛质疑，导致其股价连续暴跌，一周时间的跌幅就达25%。而在2月1日退地公告发出后，有业内人士就认为，大龙股价近期的走势将不容乐观。</w:t>
      </w:r>
    </w:p>
    <w:p>
      <w:pPr>
        <w:pStyle w:val="Heading4"/>
      </w:pPr>
      <w:bookmarkStart w:id="39" w:name="专家表示大龙高层触犯公司法"/>
      <w:bookmarkEnd w:id="39"/>
      <w:r>
        <w:t xml:space="preserve">专家表示大龙高层触犯《公司法》</w:t>
      </w:r>
    </w:p>
    <w:p>
      <w:r>
        <w:t xml:space="preserve">而造成这2亿元的巨大损失，大龙地产的高层可谓难辞其咎。虽然50.5亿元的地王是以大龙地产子公司的名义取得，但最终的盈利和风险还是要由上市公司承担(大龙地产持有拿地子公司股权的99.88%)。并且拿地子公司的总经理赵川，同时还是上市公司大龙地产的法人代表。可以说，其拿地决策就是由上市公司管理层做出的。</w:t>
      </w:r>
    </w:p>
    <w:p>
      <w:r>
        <w:t xml:space="preserve">而死撑了2个多月的大龙地产也在1日晚间公告称，表示希望通过与政府的商谈来降低公司损失。不过杨少锋认为：“既然政府已经决定处罚大龙地产，那么这个决定就很难被更改，毕竟从近期看政府的决心还是很大的。”</w:t>
      </w:r>
    </w:p>
    <w:p>
      <w:r>
        <w:t xml:space="preserve">至于为什么用子公司拿地，中央财经大学法学院教授胡晓珂就对记者表示：“大龙地产不以上市公司的身份拿地，很可能就是为了规避信息披露制度或者公司的内控制度，毕竟这个投资的规模远远超过了公司的总资产，如果以上市公司为载体，那么比如可行性报告等文件就要披露出来，而以大龙的情况看，私底下不搞一些小动作很难完成这个投资，所以一些见不得光的东西肯定要被掩藏起来。”</w:t>
      </w:r>
    </w:p>
    <w:p>
      <w:r>
        <w:t xml:space="preserve">并且就是一个不懂房地产开发的人也应该知道，以2、3亿的资金根本无法撬动50.5亿元的项目，何况是一家上市公司的管理层。而如果其高层真的无法公告来解释这个拿地决策的原因，用下属子公司出面无疑是一个不错的选择。</w:t>
      </w:r>
    </w:p>
    <w:p>
      <w:r>
        <w:t xml:space="preserve">中国人民大学法学院教授刘俊海就对记者表示：“虽然大龙的高层躲过了解释决策的公告，但拿地决策是由大龙地产的管理层做出还是无容置疑的。而他们也确实有违反《公司法》中涉及勤勉义务规定的嫌疑，其作为被告的主体身份是确定的。至于是否违反勤勉义务，首先要看管理层作出的决定是不是为了公司的利益，其次则是作出决策前，管理层对于信息的掌握是否充分，例如该地区周边土地价格、拿下土地后的可执行方案等等。”</w:t>
      </w:r>
    </w:p>
    <w:p>
      <w:r>
        <w:t xml:space="preserve">但是，而从大龙地产的表现来看，其明知公司只有几亿元的资金，却偏参与一个远超公司能力的项目，拿下土地后的成本价又很难让公司赚取利润，作为本地公司该项目的情况也肯定充分了解。这些都表明，大龙的决策是在信息充分且详细的情况下做出的，但是对上市公司和广大股民的利益却并不是那么在乎。</w:t>
      </w:r>
    </w:p>
    <w:p>
      <w:r>
        <w:t xml:space="preserve">胡晓珂也表示，如果因自身决策给公司带来巨大损失，触犯了勤勉义务想要免责，需要当事人证明自己的决定是在合理的、谨慎的情况下做出的。而净利润实现放卫星式增长的大龙地产(同比增加1174.08%)，2009年实现的净利润也仅为3.39亿元，全年的营业收入同样只有17.48亿元。如此情况下还要争抢北京的“双料”地王，很难让人认为大龙的高层们是在合理的、谨慎的情况下做出的决定。</w:t>
      </w:r>
    </w:p>
    <w:p>
      <w:pPr>
        <w:pStyle w:val="Heading4"/>
      </w:pPr>
      <w:bookmarkStart w:id="40" w:name="广大股东应积极维权"/>
      <w:bookmarkEnd w:id="40"/>
      <w:r>
        <w:t xml:space="preserve">广大股东应积极维权</w:t>
      </w:r>
    </w:p>
    <w:p>
      <w:r>
        <w:t xml:space="preserve">而在国外，如果公司高层的决定给股东带来了巨大损失，广大股东大多会为自身的权益而对决策人提起诉讼。两位法律专家也同时表示，这次大龙地产退地事件已经不只是其高层引咎辞职这么简单，由于他们的不合理决策给广大股东带来的巨额损失也应该有人承担，广大股东可以援引《公司法》第152条的规定对上述高管人员提起赔偿诉讼，从而维护自身合法权益。</w:t>
      </w:r>
    </w:p>
    <w:p>
      <w:r>
        <w:t xml:space="preserve">刘俊海教授更是表示，希望通过这次大龙地产的事情，能让中国的公司高层更加深入的了解勤勉义务，避免再次出现管理层将公司搞垮却不受半点处罚的情况，同时也可以进一步完善中国的公司治理结构，净化资本市场的不良行为。</w:t>
      </w:r>
    </w:p>
    <w:p>
      <w:hyperlink r:id="rId41">
        <w:r>
          <w:rPr>
            <w:rStyle w:val="Link"/>
          </w:rPr>
          <w:t xml:space="preserve">来源：凤凰网</w:t>
        </w:r>
      </w:hyperlink>
    </w:p>
    <w:p>
      <w:pPr>
        <w:pStyle w:val="Heading3"/>
      </w:pPr>
      <w:bookmarkStart w:id="42" w:name="中电联电煤供需偏紧局面短期难以改变"/>
      <w:bookmarkEnd w:id="42"/>
      <w:r>
        <w:t xml:space="preserve">中电联：电煤供需偏紧局面短期难以改变</w:t>
      </w:r>
    </w:p>
    <w:p>
      <w:r>
        <w:t xml:space="preserve">1月26日，中国电力企业联合会（以下简称中电联）在北京发布《全国电力供需与经济运行形势分析预测报告》（2009-2010年度），报告预计新增装机保持较大规模、供应能力进一步增强，需求继续回升，供需总体平衡，全国发电设备利用小时与上年基本持平；煤炭供应紧张、价格上涨矛盾比较突出，行业盈利能力将再次面临考验；电煤、来水和气温将是影响部分地区电力电量平衡的最主要因素。</w:t>
      </w:r>
    </w:p>
    <w:p>
      <w:pPr>
        <w:pStyle w:val="Heading4"/>
      </w:pPr>
      <w:bookmarkStart w:id="43" w:name="投资少于去年-结构进一步优化"/>
      <w:bookmarkEnd w:id="43"/>
      <w:r>
        <w:t xml:space="preserve">投资少于去年 结构进一步优化</w:t>
      </w:r>
    </w:p>
    <w:p>
      <w:r>
        <w:t xml:space="preserve">报告预计2010年全国全年基建新增装机8500万千瓦，其中，水电新增超过1500万千瓦，火电新增5500万千瓦，核电新增108万千瓦，风电新增1300万千瓦，太阳能光伏新增20万千瓦。预计2010年年中，全国发电装机容量将突破9亿千瓦。2010年年底，全国发电装机容量在9.5亿千瓦左右，其中，水电2.1亿千瓦，火电7亿千瓦，核电1016万千瓦，并网风电3000万千瓦。预计2010年电源和电网投资预计都将在3300亿元左右，全年全国电力投资完成额6600亿元左右，少于2009年的7448亿元。　　</w:t>
      </w:r>
    </w:p>
    <w:p>
      <w:r>
        <w:t xml:space="preserve">中电联统计信息部主任薛静分析，2009年我国为应对金融危机、拉动内需，对电力基本建设的投资增幅较大。预测2010年投资水平较低，原因在于一些电力投资专项尚未下达，两大电网投资规模因受制于资本负债率不会有较大增长。投资少了，但是投资结构会进一步优化。城市和农村配电网投资的力度将逐步加大，电源投资中火电投资比重将继续低于50%，水电、核电投资比重将继续提高；电网投资占电力投资的比重也会再度低于50%。</w:t>
      </w:r>
    </w:p>
    <w:p>
      <w:r>
        <w:t xml:space="preserve">中电联秘书长王志轩表示，当前，我国电力工业最突出的矛盾仍是电力结构性问题。火电机组和火电发电量比重仍然过高；电源电网发展不协调；我国能源资源与能源消费逆向分布的特征和全球气候变化的压力都要求我国电力工业必须加快转变发展方式，实现科学发展。王志轩特别强调，2010年要高度重视清洁煤发电。因为我国能源结构中以煤炭为主的格局在相当长时期内难以改变，必须充分重视洁净煤燃烧技术的发展与推广。同时要继续上大压小，积极合理发展热电联产，提高综合能源利用效率。</w:t>
      </w:r>
    </w:p>
    <w:p>
      <w:pPr>
        <w:pStyle w:val="Heading4"/>
      </w:pPr>
      <w:bookmarkStart w:id="44" w:name="气温来水仍有可能影响供需"/>
      <w:bookmarkEnd w:id="44"/>
      <w:r>
        <w:t xml:space="preserve">气温、来水仍有可能影响供需</w:t>
      </w:r>
    </w:p>
    <w:p>
      <w:r>
        <w:t xml:space="preserve">报告显示： 2010年，我国大部分地区出现气温偏高、偏低等天气的概率仍然很大，部分时段电力保障能力将承受巨大考验。预计至2010年汛前，主要流域来水将继续维持目前严重偏枯的趋势，流域来水量仍将严重不足。预计2010年全国来水情况总体为平水年偏枯，今冬明春全国特别是华中地区干旱基本成定局。汛期也存在来水集中、来水量大等可能。</w:t>
      </w:r>
    </w:p>
    <w:p>
      <w:r>
        <w:t xml:space="preserve">2010年，全国电力供需总体预计平衡有余。受来水、电煤及天然气供应等不确定性因素影响，上海、江苏、浙江、湖北、湖南、江西、四川、重庆等地区部分时段电力供需偏紧，可能存在一定的电力电量缺口。</w:t>
      </w:r>
    </w:p>
    <w:p>
      <w:pPr>
        <w:pStyle w:val="Heading4"/>
      </w:pPr>
      <w:bookmarkStart w:id="45" w:name="电煤供需偏紧局面短期内难以改变"/>
      <w:bookmarkEnd w:id="45"/>
      <w:r>
        <w:t xml:space="preserve">电煤供需偏紧局面短期内难以改变</w:t>
      </w:r>
    </w:p>
    <w:p>
      <w:r>
        <w:t xml:space="preserve">报告显示：由于现在水库蓄水偏少、需求高位增长，部分省份煤炭资源整合过程中将难以完全释放生产能力，煤炭生产量下降，对电力供应和地区平衡产生一定影响，可以判断，上半年火电发电量及火电耗煤量仍将保持在很高的水平上，电煤供需偏紧的局面短期内难以改变。预计2010年全国电厂发电、供热生产电煤消耗在16亿吨左右。煤炭需求总量增加和结构性、地区性矛盾将进一步推动煤价继续走高，增加电厂煤炭采购难度和采购成本。</w:t>
      </w:r>
    </w:p>
    <w:p>
      <w:r>
        <w:t xml:space="preserve">面对近期紧张的电煤关系，王志轩建议，2010年应加强国家对煤炭资源的调配力度，建立国家煤炭应急储备制度。启动煤炭储备机制不仅可以缓解能源安全与经济发展提速间的冲突与矛盾，也可以平抑煤炭市场异常波动，防止过度投机行为，符合国际通用做法。同时应鼓励各发电集团建立自己的电煤储运机制。加强煤炭产运需协调，整顿电煤流通环节，加大力度帮助电力企业协调重点地区、重点电厂（特别是新增的重点电厂）的电煤产运需保障平衡，确保资源总量基本平衡和稳定供应。尽快建立电煤信息统计体系，完善电煤价格指数测算与发布机制，做好电煤的预测预警工作。</w:t>
      </w:r>
    </w:p>
    <w:p>
      <w:r>
        <w:t xml:space="preserve">针对近几年一直呼声很高的煤电联动，王志轩表示，煤电联动机制自2004年年底实施以来，一是不能及时启动，二是有关机制存在问题。现阶段，应进一步完善煤电价格联动机制，调整发电企业消化煤价上涨比例，设置煤电联动最高上限，适当控制电煤价格涨幅，保持煤炭、电力价格基本稳定。应根据2009年年底及2010年初以来电煤价格不断上涨的情况，及时启动煤电联动，以缓解发电企业的经营压力和煤电之间的矛盾。</w:t>
      </w:r>
    </w:p>
    <w:p>
      <w:hyperlink r:id="rId46">
        <w:r>
          <w:rPr>
            <w:rStyle w:val="Link"/>
          </w:rPr>
          <w:t xml:space="preserve">来源：中国电力</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7">
        <w:r>
          <w:rPr>
            <w:rStyle w:val="Link"/>
          </w:rPr>
          <w:t xml:space="preserve">unsubscribe@charltonslaw.com</w:t>
        </w:r>
      </w:hyperlink>
    </w:p>
    <w:p>
      <w:r>
        <w:rPr>
          <w:b/>
        </w:rPr>
        <w:t xml:space="preserve">易周律师行 - 法讯 - 中国 - 第325期 - 2010年02月08日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c348e2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cnstock.xinhuanet.com/index/tpxw/201002/369162.htm" TargetMode="External" /><Relationship Type="http://schemas.openxmlformats.org/officeDocument/2006/relationships/hyperlink" Id="rId27" Target="http://content.caixun.com/NE/01/qb/NE01qbt3.shtm" TargetMode="External" /><Relationship Type="http://schemas.openxmlformats.org/officeDocument/2006/relationships/hyperlink" Id="rId41" Target="http://finance.ifeng.com/roll/20100202/1787322.shtml" TargetMode="External" /><Relationship Type="http://schemas.openxmlformats.org/officeDocument/2006/relationships/hyperlink" Id="rId25" Target="http://finance.ifeng.com/roll/20100205/1801537.shtml" TargetMode="External" /><Relationship Type="http://schemas.openxmlformats.org/officeDocument/2006/relationships/hyperlink" Id="rId36" Target="http://hkstock.cnfol.com/100202/132,1358,7210377,00.shtml" TargetMode="External" /><Relationship Type="http://schemas.openxmlformats.org/officeDocument/2006/relationships/hyperlink" Id="rId34" Target="http://world.huanqiu.com/roll/2010-02/706339.html" TargetMode="External" /><Relationship Type="http://schemas.openxmlformats.org/officeDocument/2006/relationships/hyperlink" Id="rId21" Target="http://www.charltonslaw.com.cn/china-news-alerts-cn-issue-325/" TargetMode="External" /><Relationship Type="http://schemas.openxmlformats.org/officeDocument/2006/relationships/hyperlink" Id="rId46" Target="http://www.chinapower.com.cn/newsarticle/1112/new1112766.asp" TargetMode="External" /><Relationship Type="http://schemas.openxmlformats.org/officeDocument/2006/relationships/hyperlink" Id="rId29" Target="http://www.chinataiwan.org/xwzx/gaq/201002/t20100203_1245678.htm" TargetMode="External" /><Relationship Type="http://schemas.openxmlformats.org/officeDocument/2006/relationships/hyperlink" Id="rId4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2" Target="http://cnstock.xinhuanet.com/index/tpxw/201002/369162.htm" TargetMode="External" /><Relationship Type="http://schemas.openxmlformats.org/officeDocument/2006/relationships/hyperlink" Id="rId27" Target="http://content.caixun.com/NE/01/qb/NE01qbt3.shtm" TargetMode="External" /><Relationship Type="http://schemas.openxmlformats.org/officeDocument/2006/relationships/hyperlink" Id="rId41" Target="http://finance.ifeng.com/roll/20100202/1787322.shtml" TargetMode="External" /><Relationship Type="http://schemas.openxmlformats.org/officeDocument/2006/relationships/hyperlink" Id="rId25" Target="http://finance.ifeng.com/roll/20100205/1801537.shtml" TargetMode="External" /><Relationship Type="http://schemas.openxmlformats.org/officeDocument/2006/relationships/hyperlink" Id="rId36" Target="http://hkstock.cnfol.com/100202/132,1358,7210377,00.shtml" TargetMode="External" /><Relationship Type="http://schemas.openxmlformats.org/officeDocument/2006/relationships/hyperlink" Id="rId34" Target="http://world.huanqiu.com/roll/2010-02/706339.html" TargetMode="External" /><Relationship Type="http://schemas.openxmlformats.org/officeDocument/2006/relationships/hyperlink" Id="rId21" Target="http://www.charltonslaw.com.cn/china-news-alerts-cn-issue-325/" TargetMode="External" /><Relationship Type="http://schemas.openxmlformats.org/officeDocument/2006/relationships/hyperlink" Id="rId46" Target="http://www.chinapower.com.cn/newsarticle/1112/new1112766.asp" TargetMode="External" /><Relationship Type="http://schemas.openxmlformats.org/officeDocument/2006/relationships/hyperlink" Id="rId29" Target="http://www.chinataiwan.org/xwzx/gaq/201002/t20100203_1245678.htm" TargetMode="External" /><Relationship Type="http://schemas.openxmlformats.org/officeDocument/2006/relationships/hyperlink" Id="rId4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第325期 - 2010年02月08日</dc:title>
  <dc:creator/>
</cp:coreProperties>
</file>