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第326期</w:t>
      </w:r>
      <w:r>
        <w:t xml:space="preserve"> </w:t>
      </w:r>
      <w:r>
        <w:t xml:space="preserve">-</w:t>
      </w:r>
      <w:r>
        <w:t xml:space="preserve"> </w:t>
      </w:r>
      <w:r>
        <w:t xml:space="preserve">2010年02月17日</w:t>
      </w:r>
    </w:p>
    <w:p>
      <w:hyperlink r:id="rId21">
        <w:r>
          <w:rPr>
            <w:rStyle w:val="Link"/>
          </w:rPr>
          <w:t xml:space="preserve">网络版</w:t>
        </w:r>
      </w:hyperlink>
    </w:p>
    <w:p>
      <w:pPr>
        <w:pStyle w:val="Heading1"/>
      </w:pPr>
      <w:bookmarkStart w:id="22" w:name="法讯中国第326期"/>
      <w:bookmarkEnd w:id="22"/>
      <w:r>
        <w:t xml:space="preserve">法讯中国第326期</w:t>
      </w:r>
    </w:p>
    <w:p>
      <w:pPr>
        <w:pStyle w:val="Heading2"/>
      </w:pPr>
      <w:bookmarkStart w:id="23" w:name="资本市场-capital-markets"/>
      <w:bookmarkEnd w:id="23"/>
      <w:r>
        <w:t xml:space="preserve">资本市场 Capital Markets</w:t>
      </w:r>
    </w:p>
    <w:p>
      <w:pPr>
        <w:pStyle w:val="Heading3"/>
      </w:pPr>
      <w:bookmarkStart w:id="24" w:name="中国年出口额首次赶超德国-确立全球第一地位"/>
      <w:bookmarkEnd w:id="24"/>
      <w:r>
        <w:t xml:space="preserve">中国年出口额首次赶超德国 确立全球第一地位</w:t>
      </w:r>
    </w:p>
    <w:p>
      <w:r>
        <w:t xml:space="preserve">去年三季度开始,包括世贸组织等国际机构都预言“中国出口全球第一”已是定局。昨天,德国联邦统计局公布的最新数据印证了这一判断。</w:t>
      </w:r>
    </w:p>
    <w:p>
      <w:r>
        <w:t xml:space="preserve">德国公布的最新数据显示,2009年德国年出口总额为8032亿欧元,相当于11213亿美元,比上年减少了18.4%,少于中国的12016亿美元。中国的年出口额首次赶超德国。</w:t>
      </w:r>
    </w:p>
    <w:p>
      <w:r>
        <w:t xml:space="preserve">事实上,从去年年末的各项统计指标来看,中国经济表现抢眼,不仅表现在外贸指标。2009年中国国内新车销量也超过了美国跃居全球首位,更有预计2010年中国的国内生产总值（GDP）将取代日本升至全球第二位。</w:t>
      </w:r>
    </w:p>
    <w:p>
      <w:r>
        <w:t xml:space="preserve">这些数据背后无疑有金融危机的原因。中国外贸在2009年遭遇了同比16%的下滑,但是德国下滑更严重,因此被中国赶超。德国作为欧洲经济规模最大的国家,从2003年后就一直稳居出口额全球第一的宝座。2009年由于受金融危机影响,德国对欧洲各国的出口明显减少。</w:t>
      </w:r>
    </w:p>
    <w:p>
      <w:r>
        <w:t xml:space="preserve">未来而言,去年底商务系统内部基本预测认为,2010年的出口将是恢复性增长态势,所谓“恢复性”是指恢复到金融危机前2008年的水平。商务部副部长钟山周一在英国伯明翰召开的“中国品牌商品欧洲展”上表示,今年中国的出口会有一定程度的增加,但不太可能达到2008年的水平。</w:t>
      </w:r>
    </w:p>
    <w:p>
      <w:r>
        <w:t xml:space="preserve">此前,商务部部长陈德铭也公开表示过,虽然2010年出口将结束大幅下滑的局面,但要再现前5年年均增长25%的势头几乎不可能,恢复到2008年水平可能需要两三年甚至更长时间。</w:t>
      </w:r>
    </w:p>
    <w:p>
      <w:r>
        <w:t xml:space="preserve">因此在“出口第一”的桂冠背后,未来的外贸形势并非乐观。各种风险给2010年的外贸形势增加了诸多不确定因素。</w:t>
      </w:r>
    </w:p>
    <w:p>
      <w:r>
        <w:t xml:space="preserve">首要风险是贸易保护主义正在欧美国家抬头,目前各国纷纷表示要扩大出口来促使经济增长,中国在今年全年都会处于“摩擦压力”之下。业内人士也预测认为,2010年存在着“反倾销和反补贴诉讼案件大幅增加”的“肥沃土壤”。</w:t>
      </w:r>
    </w:p>
    <w:p>
      <w:r>
        <w:t xml:space="preserve">其次,中国出口取决于世界需求市场,欧美日等经济体2009年下半年似乎有需求回暖迹象,但这种迹象是否稳固,能否给中国出口提供稳定市场,依然需观察。</w:t>
      </w:r>
    </w:p>
    <w:p>
      <w:r>
        <w:t xml:space="preserve">就“中德谁排第一”而言,商务部新闻发言人姚坚曾表示,中国的出口在2009年相比德国来说,是可能会超出一些,但这仅仅是一年的数字,随着2010、2011年全球经济逐步恢复景气后,这些数据也许还会有反复,现在都不能确定。</w:t>
      </w:r>
    </w:p>
    <w:p>
      <w:r>
        <w:t xml:space="preserve">从历史上来看,美、德、日都曾在全球国际贸易份额中占到过极大的比例,比如美国曾占到1/3,德国也曾超过12%,而中国现在只有8%左右。</w:t>
      </w:r>
    </w:p>
    <w:p>
      <w:r>
        <w:t xml:space="preserve">姚坚认为,美、德这些贸易大国已经完成了制造业走向服务业的转型,现在都是以服务出口见长,更多的是在当地投资。不能单纯以第一、第二看问题,中国的出口结构无疑还需要继续调整升级。</w:t>
      </w:r>
    </w:p>
    <w:p>
      <w:r>
        <w:t xml:space="preserve">钟山在上述展会上还表示,中国和美国之间出现的贸易摩擦或贸易纠纷,不会酿成中美之间的贸易大战。</w:t>
      </w:r>
    </w:p>
    <w:p>
      <w:r>
        <w:t xml:space="preserve">钟山说,中国是贸易保护主义的最大受害国,去年中国遭受到各种贸易保护主义的案子有116个,涉及金额达127亿美元。</w:t>
      </w:r>
    </w:p>
    <w:p>
      <w:hyperlink r:id="rId25">
        <w:r>
          <w:rPr>
            <w:rStyle w:val="Link"/>
          </w:rPr>
          <w:t xml:space="preserve">来源：和讯</w:t>
        </w:r>
      </w:hyperlink>
    </w:p>
    <w:p>
      <w:pPr>
        <w:pStyle w:val="Heading3"/>
      </w:pPr>
      <w:bookmarkStart w:id="26" w:name="周小川通货膨胀已经显现-但仍处于低位"/>
      <w:bookmarkEnd w:id="26"/>
      <w:r>
        <w:t xml:space="preserve">周小川：通货膨胀已经显现 但仍处于低位</w:t>
      </w:r>
    </w:p>
    <w:p>
      <w:r>
        <w:t xml:space="preserve">新年以来，央行行长周小川首次在公开场合对通胀问题表态。</w:t>
      </w:r>
    </w:p>
    <w:p>
      <w:r>
        <w:t xml:space="preserve">“通货膨胀已经显现，但仍处于低位。目前中国的利率处于稳定水平。中国必须对目前的形势保持警惕。”央行行长周小川是在悉尼某会议的间隙作出上述表示的。此外，他还认为，中国银行业放贷的步伐稳定。</w:t>
      </w:r>
    </w:p>
    <w:p>
      <w:pPr>
        <w:pStyle w:val="Heading4"/>
      </w:pPr>
      <w:bookmarkStart w:id="27" w:name="央行通胀表述变化明显"/>
      <w:bookmarkEnd w:id="27"/>
      <w:r>
        <w:t xml:space="preserve">央行“通胀”表述变化明显</w:t>
      </w:r>
    </w:p>
    <w:p>
      <w:r>
        <w:t xml:space="preserve">央行对于通胀的关注开始升级。</w:t>
      </w:r>
    </w:p>
    <w:p>
      <w:r>
        <w:t xml:space="preserve">2月9日，周小川是在悉尼出席澳洲央行组织的讨论会间隙表示，目前中国的利率稳定，但应密切关注通胀问题。</w:t>
      </w:r>
    </w:p>
    <w:p>
      <w:r>
        <w:t xml:space="preserve">周小川指出，通货膨胀已经显现，但仍处于低位。中国必须对目前的形势保持警惕。从管理好通胀预期到承认通胀显现，央行对待通胀的态度出现了明显的变化。</w:t>
      </w:r>
    </w:p>
    <w:p>
      <w:r>
        <w:t xml:space="preserve">央行年度工作会议提出，根据新形势新情况，着力提高政策的针对性和灵活性，特别是要处理好保持经济平稳较快发展、调整经济结构和管理好通胀预期的关系。</w:t>
      </w:r>
    </w:p>
    <w:p>
      <w:r>
        <w:t xml:space="preserve">近期，随着经济逐渐回升，CPI逐渐走高，市场通胀预期越发强烈。统计局数据显示，2009年12月份CPI同比增长1.9%；同时，PPI亦快速回升，由负转正。12月份PPI当月同比增长1.7%。这两项数据均高于市场预期。</w:t>
      </w:r>
    </w:p>
    <w:p>
      <w:r>
        <w:t xml:space="preserve">2月11日，国家统计局将公布1月份经济数据，市场预计1月份CPI同比增幅仍将继续上行。国海证券认为，一季度CPI、PPI仍将逐渐上行，尤其是2月份，两者回升幅度预计都将会比较大，CPI或将回升至接近3%。上调对2010年CPI同比增速由2.7%至3.2%。</w:t>
      </w:r>
    </w:p>
    <w:p>
      <w:r>
        <w:t xml:space="preserve">“2010年1月CPI也将连续增长，在春节因素的推动下，今年2月份的CPI甚至将推高到3%。”交行研究部唐建伟说，从另外一个角度来看，现在的通胀还是比较温和的。因为目前GDP的增长在10%左右，如此高的经济增长，能承受3%的CPI。</w:t>
      </w:r>
    </w:p>
    <w:p>
      <w:r>
        <w:t xml:space="preserve">随着通胀预期加剧，市场对加息的预期也有所提前，尤其是1月初央行快速上调央票利率以及存款准备金率之后，市场加息气氛愈发浓厚。</w:t>
      </w:r>
    </w:p>
    <w:p>
      <w:r>
        <w:t xml:space="preserve">社科院中国经济评价中心主任刘煜辉此前在接受《每日经济新闻》采访时表示，加息关键要视通胀的情况而定，根据目前CPI的走势来判断，5月份CPI将达到年内高点，为避免实体经济出现“负利率”的情况，进而导致通胀预期进一步升温，央行有可能会在一季度末调整利率。</w:t>
      </w:r>
    </w:p>
    <w:p>
      <w:pPr>
        <w:pStyle w:val="Heading4"/>
      </w:pPr>
      <w:bookmarkStart w:id="28" w:name="放贷步伐稳定"/>
      <w:bookmarkEnd w:id="28"/>
      <w:r>
        <w:t xml:space="preserve">放贷步伐稳定</w:t>
      </w:r>
    </w:p>
    <w:p>
      <w:r>
        <w:t xml:space="preserve">中国的信贷投放在季度之间分布历来不均衡，今年银行突击放贷的情况仍然存在。新年第一周银行新增贷款约6000亿元人民币，大大超出预期。1月末，坊间传闻商业银行遭银监会“禁贷”。而且包括工行、中信银行等多家银行还受到 “差额存款准备金”的处罚。</w:t>
      </w:r>
    </w:p>
    <w:p>
      <w:r>
        <w:t xml:space="preserve">遭遇了货币监管层的频频发难之后，商业银行信贷投放的步伐或将稳定下来。2月9日，周小川表示，中国银行业放贷的步伐稳定。</w:t>
      </w:r>
    </w:p>
    <w:p>
      <w:r>
        <w:t xml:space="preserve">央行年度工作会议指出，要继续落实好适度宽松的货币政策，保持货币信贷合理充裕。同时引导金融机构根据实体经济的信贷需求，切实把握好信贷投放节奏，尽量使贷款保持均衡，防止季度之间、月度之间异常波动。</w:t>
      </w:r>
    </w:p>
    <w:p>
      <w:r>
        <w:t xml:space="preserve">此前，银监会主席刘明康曾表示，各银行业金融机构要合理控制信贷增量，把握好信贷投放节奏，努力实现逐季均衡投放和平稳增长。</w:t>
      </w:r>
    </w:p>
    <w:p>
      <w:r>
        <w:t xml:space="preserve">此前有媒体报道称，去年底，银监会通过窗口指导等方式，对各个银行今年的放贷总额提出“建议”，工行今年的新增贷款额度约为8500亿元，建行和农行均在7000亿元上下，去年信贷市场巨额放量的中国银行，贷款额度上限为6000亿元。</w:t>
      </w:r>
    </w:p>
    <w:p>
      <w:r>
        <w:t xml:space="preserve">国元证券指出，在银行1月上半月出现放贷冲动后，央行在1月中旬迅速提高存款准备金率，并对部分银行实施差额准备金率，表明了信贷调控的决心。在央行月度调控的情况下，银行“先斩后奏”，超规模放贷的情况在今年很难出现。</w:t>
      </w:r>
    </w:p>
    <w:p>
      <w:r>
        <w:t xml:space="preserve">“一季度，央行要求商业银行信贷总规模不得超过约2.4万亿，如此一来，前期信贷投放较多的银行势必受到更多的‘关照’。”刘煜辉说。</w:t>
      </w:r>
    </w:p>
    <w:p>
      <w:hyperlink r:id="rId29">
        <w:r>
          <w:rPr>
            <w:rStyle w:val="Link"/>
          </w:rPr>
          <w:t xml:space="preserve">来源：中国经济网</w:t>
        </w:r>
      </w:hyperlink>
    </w:p>
    <w:p>
      <w:pPr>
        <w:pStyle w:val="Heading2"/>
      </w:pPr>
      <w:bookmarkStart w:id="30" w:name="公司与商业-corporate-commercial"/>
      <w:bookmarkEnd w:id="30"/>
      <w:r>
        <w:t xml:space="preserve">公司与商业 Corporate &amp; Commercial</w:t>
      </w:r>
    </w:p>
    <w:p>
      <w:pPr>
        <w:pStyle w:val="Heading3"/>
      </w:pPr>
      <w:bookmarkStart w:id="31" w:name="月豪华车增长强劲-奥迪宝马销量翻倍"/>
      <w:bookmarkEnd w:id="31"/>
      <w:r>
        <w:t xml:space="preserve">1月豪华车增长强劲 奥迪、宝马销量翻倍</w:t>
      </w:r>
    </w:p>
    <w:p>
      <w:r>
        <w:t xml:space="preserve">综合外电报道，由于奥迪A6、A4在中国市场需求强劲，奥迪预计今年一季度车型销量将有强劲增长。1月，奥迪车型在美销量同比上涨39%。在中国的汽车销量同比增加1倍以上，包括香港的销量在内，该品牌1月在华销量为16798辆。奥迪Q5和掀背式运动车型A5有望继续保持增长态势。</w:t>
      </w:r>
    </w:p>
    <w:p>
      <w:r>
        <w:t xml:space="preserve">“有了这个成功的开始，我们将离2008年创下的历史纪录越来越近。”奥迪销售市场部主管Peter Schwarzenbauer称，2008年奥迪的汽车销量为100万辆，奥迪希望2010年将再次达到这一目标。</w:t>
      </w:r>
    </w:p>
    <w:p>
      <w:r>
        <w:t xml:space="preserve">奥迪方面称，1月，奥迪在美国市场销量为77800辆，同比增长39%；除去德国，奥迪在欧洲市场的销量同比增长23%；在中国市场的销量保持两位数增长；在德国市场的销量同比上涨了9.3%。</w:t>
      </w:r>
    </w:p>
    <w:p>
      <w:r>
        <w:t xml:space="preserve">同时，宝马汽车公司2月5日也表示，该公司1月份的中国汽车销量从去年同期的5360辆增至11919辆，增长幅度在1倍以上。宝马认为，这是中国市场状况好转促使豪华车市场复苏的最新迹象。</w:t>
      </w:r>
    </w:p>
    <w:p>
      <w:r>
        <w:t xml:space="preserve">宝马汽车销售主管在一份公告中称，公司将再次力争在中国实现两位数的百分比销量增幅。</w:t>
      </w:r>
    </w:p>
    <w:p>
      <w:hyperlink r:id="rId32">
        <w:r>
          <w:rPr>
            <w:rStyle w:val="Link"/>
          </w:rPr>
          <w:t xml:space="preserve">来源：中国商用汽车网</w:t>
        </w:r>
      </w:hyperlink>
    </w:p>
    <w:p>
      <w:pPr>
        <w:pStyle w:val="Heading3"/>
      </w:pPr>
      <w:bookmarkStart w:id="33" w:name="中芯国际今年将把资本支出规模提高76"/>
      <w:bookmarkEnd w:id="33"/>
      <w:r>
        <w:t xml:space="preserve">中芯国际今年将把资本支出规模提高76%</w:t>
      </w:r>
    </w:p>
    <w:p>
      <w:r>
        <w:t xml:space="preserve">网易科技讯 2月10日消息，据华尔街日报报道，中芯国际周三称，公司计划于今年提高资本支出，以启用更先进的技术，从而提高公司竞争力并恢复盈利能力。</w:t>
      </w:r>
    </w:p>
    <w:p>
      <w:r>
        <w:t xml:space="preserve">中芯国际新任首席执行长王宁国称，公司的目标是将2010年全年的毛利润率保持在两位数百分比，业务增幅高于今年芯片市场的预计平均增幅20%。</w:t>
      </w:r>
    </w:p>
    <w:p>
      <w:r>
        <w:t xml:space="preserve">王宁国称，公司今年的资本支出计划规模为3.35亿美元，较2009年的1.899亿美元提高76%。</w:t>
      </w:r>
    </w:p>
    <w:p>
      <w:r>
        <w:t xml:space="preserve">他说，公司仍在测试40纳米产品，计划从明年开始量产45纳米产品。</w:t>
      </w:r>
    </w:p>
    <w:p>
      <w:r>
        <w:t xml:space="preserve">中芯国际截至去年12月31日的第四季度毛利润率为10.6%，高于上年同期的-27.4%。</w:t>
      </w:r>
    </w:p>
    <w:p>
      <w:r>
        <w:t xml:space="preserve">王宁国还称，中芯国际业绩在逐步改善中，受其在中国大陆市场的高占有率及成本削减措施提振。</w:t>
      </w:r>
    </w:p>
    <w:p>
      <w:r>
        <w:t xml:space="preserve">王宁国称，在开拓强劲的内地市场方面，中芯国际有更多优势，其在中国大陆代工芯片市场的占有率约为50%。</w:t>
      </w:r>
    </w:p>
    <w:p>
      <w:r>
        <w:t xml:space="preserve">王宁国称，公司第四季度收入为3.331亿美元，其中约有24%来自中国大陆市常</w:t>
      </w:r>
    </w:p>
    <w:p>
      <w:r>
        <w:t xml:space="preserve">中芯国际周二公布，公司第四季度净亏损扩大至4.823亿美元，主要受与竞争对手台湾积体电路制造股份有限公司就一起法律诉讼达℃成和解的现金支出以及资产减值支出影响。</w:t>
      </w:r>
    </w:p>
    <w:p>
      <w:r>
        <w:t xml:space="preserve">该公司预计第一季度收入较上一季度持平或增长2%。</w:t>
      </w:r>
    </w:p>
    <w:p>
      <w:r>
        <w:t xml:space="preserve">中芯国际周二证实，公司正在就一家投资方进行谈判，后者可能会通过认购该公司股票对其注入资本。但该公司未指明投资方身份，也未进一步展开说明。</w:t>
      </w:r>
    </w:p>
    <w:p>
      <w:r>
        <w:t xml:space="preserve">按产能衡量，中芯国际是中国最大的芯片代工生产商。</w:t>
      </w:r>
    </w:p>
    <w:p>
      <w:hyperlink r:id="rId34">
        <w:r>
          <w:rPr>
            <w:rStyle w:val="Link"/>
          </w:rPr>
          <w:t xml:space="preserve">来源：tech web</w:t>
        </w:r>
      </w:hyperlink>
    </w:p>
    <w:p>
      <w:pPr>
        <w:pStyle w:val="Heading3"/>
      </w:pPr>
      <w:bookmarkStart w:id="35" w:name="中石油与伊朗达成天然气田开发协议"/>
      <w:bookmarkEnd w:id="35"/>
      <w:r>
        <w:t xml:space="preserve">中石油与伊朗达成天然气田开发协议</w:t>
      </w:r>
    </w:p>
    <w:p>
      <w:r>
        <w:t xml:space="preserve">网易财经2月10日讯 据路透社报道，业界官员告诉路透，中国石油(行情 股吧)天然气集团公司已和伊朗就开发该国South Pars天然气田11阶段达成协议，将加大其在伊朗的石油天然气作业。</w:t>
      </w:r>
    </w:p>
    <w:p>
      <w:r>
        <w:t xml:space="preserve">中国石油集团最早将于3月开始钻井以评估该气田储量，去年末，中石油的初步综合开发计划已获得伊朗政府批准，该项目价值47亿美元</w:t>
      </w:r>
    </w:p>
    <w:p>
      <w:r>
        <w:t xml:space="preserve">这位熟悉中石油集团国际业务的官员表示，“具体工作将在中国农历新年假期后立即展开”。</w:t>
      </w:r>
    </w:p>
    <w:p>
      <w:r>
        <w:t xml:space="preserve">中石油集团已于去年12月扩充其在北京和伊朗负责伊朗石油天然气作业的团队至约60人，伊朗业务亦包括两项石油项目：北阿扎德甘油田和Masjed-i-Suleiman油田。中国石油集团是中石油的母公司。</w:t>
      </w:r>
    </w:p>
    <w:p>
      <w:r>
        <w:t xml:space="preserve">中石油集团发言人未能立刻对此置评。</w:t>
      </w:r>
    </w:p>
    <w:p>
      <w:r>
        <w:t xml:space="preserve">除了South Pars的天然气田协议之外，中石油集团亦在伊拉克赢得了另外两项服务合约，分别开发大型油田鲁迈拉和Halfaya,中石油集团将可获得预计约210亿桶的储量。</w:t>
      </w:r>
    </w:p>
    <w:p>
      <w:r>
        <w:t xml:space="preserve">上述官员表示，“中石油集团已将此作为特殊策略：即在全球储量最大的几个国家中站稳脚跟。两伊位列名单之中。”</w:t>
      </w:r>
    </w:p>
    <w:p>
      <w:r>
        <w:t xml:space="preserve">但分析师表示，South Pars天然气田的生产仍存疑问，因美国的制裁禁止其获得大多由美国公司掌握的天然气液化关键技术。</w:t>
      </w:r>
    </w:p>
    <w:p>
      <w:r>
        <w:t xml:space="preserve">尚不清楚马来西亚国家石油天然气公司（Petronas）是否仍将与中石油集团合作South Pars项目。Petronas去年6月称，其计划与中石油集团合作开发伊朗气田。</w:t>
      </w:r>
    </w:p>
    <w:p>
      <w:hyperlink r:id="rId36">
        <w:r>
          <w:rPr>
            <w:rStyle w:val="Link"/>
          </w:rPr>
          <w:t xml:space="preserve">来源：网易财经</w:t>
        </w:r>
      </w:hyperlink>
    </w:p>
    <w:p>
      <w:pPr>
        <w:pStyle w:val="Heading3"/>
      </w:pPr>
      <w:bookmarkStart w:id="37" w:name="新希望全额控股白帝乳业-乳业整合再下一城"/>
      <w:bookmarkEnd w:id="37"/>
      <w:r>
        <w:t xml:space="preserve">新希望全额控股白帝乳业 乳业整合再下一城</w:t>
      </w:r>
    </w:p>
    <w:p>
      <w:r>
        <w:t xml:space="preserve">21世纪经济报道1月6日讯 继去年初成功增持昆明雪兰乳业后，新希望乳业再次出手白帝乳业，进一步强化了对旗下地方乳业的控制。</w:t>
      </w:r>
    </w:p>
    <w:p>
      <w:r>
        <w:t xml:space="preserve">1月4日，合肥招投标中心对外公布，安徽白帝乳业有限公司41%的国有股权受让给新希望乳业控股有限公司（以下简称“新希望乳业”）。至此，新希望乳业正式实现对安徽白帝乳业有限公司的全额控股。</w:t>
      </w:r>
    </w:p>
    <w:p>
      <w:r>
        <w:t xml:space="preserve">据了解，股权转让公告要求意向受让方须承诺不改变白帝乳业的法人主体地位，同时两年内在合肥市新增投资不少于人民币2000万元。公告显示，白帝乳业净资产经评估后达6464.61万元。</w:t>
      </w:r>
    </w:p>
    <w:p>
      <w:r>
        <w:t xml:space="preserve">2002年开始，新希望通过一系列并购进军乳品行业，先后将四川阳平乳业、重庆天友乳业、长春苗苗豆乳、安徽合肥白帝乳业、河北保定天香乳业、杭州双峰乳业和美丽健、青岛琴牌乳业、云南蝶泉乳业等11家企业收编。</w:t>
      </w:r>
    </w:p>
    <w:p>
      <w:r>
        <w:t xml:space="preserve">安徽白帝作为新希望全国乳业整合的一个重要落子，在安徽市场具有很高的市场占有率。资料显示，安徽白帝乳业有限公司成立于2002年，注册资本5000万元，是安徽最大的生产鲜牛奶、酸牛奶、奶粉、含乳饮料等乳制品的产业基地，日处理鲜奶达到120吨。</w:t>
      </w:r>
    </w:p>
    <w:p>
      <w:r>
        <w:t xml:space="preserve">2008年下半年爆发的三聚氰胺给新希望乳业带来了难得的扩张机会，因为置身巴氏奶阵营，新希望乳业在三聚氰胺事件中以正面形象出现，品牌力获得了极大的提升。从去年底开始，新希望乳业凭借着多年整合的地方品牌形成的竞争力，取得了快速的增长。</w:t>
      </w:r>
    </w:p>
    <w:p>
      <w:r>
        <w:t xml:space="preserve">为了保证持续的增长力，从2009年以来新希望开始了全国品牌的整合。根据新希望的方案，整合方式有两个，一是在新希望乳业的八大重点区域推出统一的“新希望”品牌；另外一种是用“新希望+当地品牌”的“1+1”的品牌策略，例如与白帝的整合会使用“新希望-白帝”品牌。</w:t>
      </w:r>
    </w:p>
    <w:p>
      <w:r>
        <w:t xml:space="preserve">整合一年来，新希望乳业取得了不错的效果，而对地方乳业进一步的控制力的增强显然将会进一步强化品牌的整合效果。</w:t>
      </w:r>
    </w:p>
    <w:p>
      <w:r>
        <w:t xml:space="preserve">“此外，此次股权收购也是在安徽白帝与杭州双峰的资源整合的背景下完成的。”接近此次交易的一位人士对记者透露，从2009年下半年以来，新希望乳业对安徽和杭州的两家乳业进行了一些市场方面的整合，“杭州双峰在鲜奶的生产和制造方面具有很强的优势，而在利乐包方面不及安徽白帝；以此同时，安徽白帝在鲜奶的领域又不如杭州双峰，却有一条利乐包的生产线，这又是杭州双方不具备的。”</w:t>
      </w:r>
    </w:p>
    <w:p>
      <w:r>
        <w:t xml:space="preserve">该人士透露，此次整合后，安徽白帝的鲜奶可能有部分会交由杭州双峰生产，而杭州双峰的利乐包则会交由安徽白帝方面生产，真正实现优势互补和资源的整合。</w:t>
      </w:r>
    </w:p>
    <w:p>
      <w:r>
        <w:t xml:space="preserve">据了解，目前双方的整合已经进入了实质性的阶段。显然，如果新希望乳业对安徽白帝方面的控股权仅有59%，则在很多方面不利于整合的推进。</w:t>
      </w:r>
    </w:p>
    <w:p>
      <w:r>
        <w:t xml:space="preserve">而安徽白帝和杭州双峰的整合，以及新希望乳业对品牌的统一，可以看作新希望方面做强乳业的决心。</w:t>
      </w:r>
    </w:p>
    <w:p>
      <w:hyperlink r:id="rId38">
        <w:r>
          <w:rPr>
            <w:rStyle w:val="Link"/>
          </w:rPr>
          <w:t xml:space="preserve">来源：网易财经</w:t>
        </w:r>
      </w:hyperlink>
    </w:p>
    <w:p>
      <w:pPr>
        <w:pStyle w:val="Heading3"/>
      </w:pPr>
      <w:bookmarkStart w:id="39" w:name="针对欧盟反倾销-中国鞋企支持向wto递交磋商要求"/>
      <w:bookmarkEnd w:id="39"/>
      <w:r>
        <w:t xml:space="preserve">针对欧盟反倾销 中国鞋企支持向WTO递交磋商要求</w:t>
      </w:r>
    </w:p>
    <w:p>
      <w:r>
        <w:t xml:space="preserve">由100多家中国鞋类生产企业、材料供应商和鞋机生产商组成的“欧盟对华鞋类产品反倾销应对联盟”昨日发表声明，坚决支持中国政府日前就欧盟对中国皮鞋产品征收反倾销税的裁决正式向WTO组织提出协商解决的相关要求。</w:t>
      </w:r>
    </w:p>
    <w:p>
      <w:r>
        <w:t xml:space="preserve">联盟指出，中国政府的决定是在WTO法律框架下保护国家合法贸易利益的重要一步，这是中国第二次针对与欧盟的贸易纠纷向WTO组织提交磋商要求。由此反映出当中国政府看到贸易保护措施被滥用时，会在WTO的法律框架下追求其法律权益的新决心。</w:t>
      </w:r>
    </w:p>
    <w:p>
      <w:r>
        <w:t xml:space="preserve">联盟表示，就欧盟对中国鞋产品发起的反倾销案而言，无论是2005年的原案还是2009年12月结束的延续十五个月反倾销税的复审裁决都存在着严重的法律问题。</w:t>
      </w:r>
    </w:p>
    <w:p>
      <w:r>
        <w:t xml:space="preserve">中国是全球最大的鞋类产品生产国。2005年6月30日和7月7日，欧盟连续对中国输欧劳保鞋和部分皮鞋启动反倾销调查程序，两起案件涉案金额高达8.49亿美元，创下欧盟对华反倾销涉案金额之最。</w:t>
      </w:r>
    </w:p>
    <w:p>
      <w:hyperlink r:id="rId40">
        <w:r>
          <w:rPr>
            <w:rStyle w:val="Link"/>
          </w:rPr>
          <w:t xml:space="preserve">来源：金融界</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1">
        <w:r>
          <w:rPr>
            <w:rStyle w:val="Link"/>
          </w:rPr>
          <w:t xml:space="preserve">unsubscribe@charltonslaw.com</w:t>
        </w:r>
      </w:hyperlink>
    </w:p>
    <w:p>
      <w:r>
        <w:rPr>
          <w:b/>
        </w:rPr>
        <w:t xml:space="preserve">易周律师行 - 法讯 - 中国 - 第326期 - 2010年02月17日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deb26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bgimg.ce.cn/cysc/newmain/jdpd/hglc/201002/10/t20100210_20101088.shtml" TargetMode="External" /><Relationship Type="http://schemas.openxmlformats.org/officeDocument/2006/relationships/hyperlink" Id="rId32" Target="http://cv.ce.cn/qydt/201002/10/t20100210_20948978.shtml" TargetMode="External" /><Relationship Type="http://schemas.openxmlformats.org/officeDocument/2006/relationships/hyperlink" Id="rId40" Target="http://finance.jrj.com.cn/2010/02/1023536963581.shtml" TargetMode="External" /><Relationship Type="http://schemas.openxmlformats.org/officeDocument/2006/relationships/hyperlink" Id="rId38" Target="http://money.163.com/10/0106/01/5SAE3B3L002526O3.html" TargetMode="External" /><Relationship Type="http://schemas.openxmlformats.org/officeDocument/2006/relationships/hyperlink" Id="rId36" Target="http://money.163.com/10/0210/18/5V69N3TN002524SO.html" TargetMode="External" /><Relationship Type="http://schemas.openxmlformats.org/officeDocument/2006/relationships/hyperlink" Id="rId25" Target="http://news.hexun.com/2010-02-10/122660122.html" TargetMode="External" /><Relationship Type="http://schemas.openxmlformats.org/officeDocument/2006/relationships/hyperlink" Id="rId21" Target="http://www.charltonslaw.com.cn/china-news-alerts-cn-issue-326/" TargetMode="External" /><Relationship Type="http://schemas.openxmlformats.org/officeDocument/2006/relationships/hyperlink" Id="rId34" Target="http://www.techweb.com.cn/news/2010-02-10/538491.shtml" TargetMode="External" /><Relationship Type="http://schemas.openxmlformats.org/officeDocument/2006/relationships/hyperlink" Id="rId4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9" Target="http://bgimg.ce.cn/cysc/newmain/jdpd/hglc/201002/10/t20100210_20101088.shtml" TargetMode="External" /><Relationship Type="http://schemas.openxmlformats.org/officeDocument/2006/relationships/hyperlink" Id="rId32" Target="http://cv.ce.cn/qydt/201002/10/t20100210_20948978.shtml" TargetMode="External" /><Relationship Type="http://schemas.openxmlformats.org/officeDocument/2006/relationships/hyperlink" Id="rId40" Target="http://finance.jrj.com.cn/2010/02/1023536963581.shtml" TargetMode="External" /><Relationship Type="http://schemas.openxmlformats.org/officeDocument/2006/relationships/hyperlink" Id="rId38" Target="http://money.163.com/10/0106/01/5SAE3B3L002526O3.html" TargetMode="External" /><Relationship Type="http://schemas.openxmlformats.org/officeDocument/2006/relationships/hyperlink" Id="rId36" Target="http://money.163.com/10/0210/18/5V69N3TN002524SO.html" TargetMode="External" /><Relationship Type="http://schemas.openxmlformats.org/officeDocument/2006/relationships/hyperlink" Id="rId25" Target="http://news.hexun.com/2010-02-10/122660122.html" TargetMode="External" /><Relationship Type="http://schemas.openxmlformats.org/officeDocument/2006/relationships/hyperlink" Id="rId21" Target="http://www.charltonslaw.com.cn/china-news-alerts-cn-issue-326/" TargetMode="External" /><Relationship Type="http://schemas.openxmlformats.org/officeDocument/2006/relationships/hyperlink" Id="rId34" Target="http://www.techweb.com.cn/news/2010-02-10/538491.shtml" TargetMode="External" /><Relationship Type="http://schemas.openxmlformats.org/officeDocument/2006/relationships/hyperlink" Id="rId4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第326期 - 2010年02月17日</dc:title>
  <dc:creator/>
</cp:coreProperties>
</file>