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第328期</w:t>
      </w:r>
      <w:r>
        <w:t xml:space="preserve"> </w:t>
      </w:r>
      <w:r>
        <w:t xml:space="preserve">-</w:t>
      </w:r>
      <w:r>
        <w:t xml:space="preserve"> </w:t>
      </w:r>
      <w:r>
        <w:t xml:space="preserve">2010年03月08日</w:t>
      </w:r>
    </w:p>
    <w:p>
      <w:hyperlink r:id="rId21">
        <w:r>
          <w:rPr>
            <w:rStyle w:val="Link"/>
          </w:rPr>
          <w:t xml:space="preserve">网络版</w:t>
        </w:r>
      </w:hyperlink>
    </w:p>
    <w:p>
      <w:pPr>
        <w:pStyle w:val="Heading1"/>
      </w:pPr>
      <w:bookmarkStart w:id="22" w:name="法讯中国第328期"/>
      <w:bookmarkEnd w:id="22"/>
      <w:r>
        <w:t xml:space="preserve">法讯中国第328期</w:t>
      </w:r>
    </w:p>
    <w:p>
      <w:pPr>
        <w:pStyle w:val="Heading2"/>
      </w:pPr>
      <w:bookmarkStart w:id="23" w:name="资本市场-capital-markets"/>
      <w:bookmarkEnd w:id="23"/>
      <w:r>
        <w:t xml:space="preserve">资本市场 Capital Markets</w:t>
      </w:r>
    </w:p>
    <w:p>
      <w:pPr>
        <w:pStyle w:val="Heading3"/>
      </w:pPr>
      <w:bookmarkStart w:id="24" w:name="耿亮国际板上市规则和交易规则初稿已经制订完成"/>
      <w:bookmarkEnd w:id="24"/>
      <w:r>
        <w:t xml:space="preserve">耿亮：国际板上市规则和交易规则初稿已经制订完成</w:t>
      </w:r>
    </w:p>
    <w:p>
      <w:r>
        <w:t xml:space="preserve">全国政协委员、上海证券交易所理事长耿亮昨日接受记者采访时表示，国际板何时推出没有具体时间表，目前国际板相关准备工作主要集中在一些非常细致的业务规则的研究上，其中上市规则和交易规则的初稿已经制订完成。他同时强调，国内投资者是以人民币来购买国际板股票，并非外币，而红筹回归问题将和国际板放在一起通盘考虑。</w:t>
      </w:r>
    </w:p>
    <w:p>
      <w:r>
        <w:t xml:space="preserve">耿亮表示，国际板的确切含义，是指符合条件的境外公司到A股上市，国内投资者以人民币来直接投资境外公司的上市股票。对于上交所来说，国际板的准备工作主要是做规则制度的修订、补充。目前上市规则和交易规则的初稿已经出来，上交所还在进行进一步的修改完善，正式出台前将向社会公开征求意见。此外，国际板的相关发行办法、结算办法等具体业务规则也都在研究制订中。他表示，目前各个相关部门对国际板的工作都高度支持，顺利推出已经没有任何争议。</w:t>
      </w:r>
    </w:p>
    <w:p>
      <w:r>
        <w:t xml:space="preserve">至于红筹公司能否首批登陆国际板，耿亮表示，国际板的第一批企业名单、家数都还没有确定，不过红筹回归问题是和国际板放在一起考虑的。他说，在香港注册并上市、主要业务在国内的公司通常被称为红筹公司。近两年来，一部分红筹公司强烈要求回归A股，这个问题正在研究之中；而此前有关部门已先后赴其它交易所和监管部门做过详细考察，吸收了大量成功经验和教训，但“红筹是否会先来都没有定”。</w:t>
      </w:r>
    </w:p>
    <w:p>
      <w:r>
        <w:t xml:space="preserve">在被问及国际板是否会冲击国内股市时，耿亮认为，就像国内优质大企业在上交所上市一样，国际板对市场的影响应该是积极的，不会造成冲击。他分析了两点原因。一方面，与香港Ｈ股市场、内地Ａ股市场股票不能互换的情况相同，在人民币资本项目不能自由兑换的情况下，今后国际板股票和境外已发行上市股票也不能实现互换；另一方面，目前要求到上交所上市的境外公司本身就已在境外交易所上市，如果登陆上交所国际板，实际上是一种再融资行为，而根据国际惯例，再融资价格一般不能超过当前二级市场价格。</w:t>
      </w:r>
    </w:p>
    <w:p>
      <w:r>
        <w:t xml:space="preserve">对于境外公司登陆国际板是直接上市还是通过CDR托管问题，耿亮表示，上交所现在研究的是直接上市。在中英经贸对话中这个问题写得很原则，可以通过A股直接上市，也可以通过CDR托管，究竟采用哪个方式，还不好明确答复。</w:t>
      </w:r>
    </w:p>
    <w:p>
      <w:r>
        <w:t xml:space="preserve">在产品创新方面，耿亮说，今年上交所争取推出跨境和跨市场的ETF。目前跨市场ETF的总体业务框架已经做好，正在具体清理一些业务规则、技术、结算等细节，希望在不久的将来可以推出。至于跨境ETF的准备，已有12个境外交易所、境外指数公司向上交所进行了指数授权，授权上交所可以用他们的指数编制ETF挂牌，一些境内基金公司也积极提出申请。希望今年能克服技术上和操作细节上的一些困难，顺利推出跨境ETF。</w:t>
      </w:r>
    </w:p>
    <w:p>
      <w:hyperlink r:id="rId25">
        <w:r>
          <w:rPr>
            <w:rStyle w:val="Link"/>
          </w:rPr>
          <w:t xml:space="preserve">来源：中国资本证券网</w:t>
        </w:r>
      </w:hyperlink>
    </w:p>
    <w:p>
      <w:pPr>
        <w:pStyle w:val="Heading3"/>
      </w:pPr>
      <w:bookmarkStart w:id="26" w:name="基金等机构投资者参与股指期货制度将尽快推出"/>
      <w:bookmarkEnd w:id="26"/>
      <w:r>
        <w:t xml:space="preserve">基金等机构投资者参与股指期货制度将尽快推出</w:t>
      </w:r>
    </w:p>
    <w:p>
      <w:r>
        <w:t xml:space="preserve">路透北京3月4日电---全国人大代表、中国金融期货交易所总经理朱玉辰周四表示,基金等机构投资者参与股指期货的制度将尽快、陆续推出.同时,境外机构参与股指期货的制度也在制定之中。</w:t>
      </w:r>
    </w:p>
    <w:p>
      <w:r>
        <w:t xml:space="preserve">朱玉辰在参加两会(人大及政协)间隙还称,股指期货或在4月正式推出.且未来中金所会推出创业板、银行板块相关的股指期货创新品种。</w:t>
      </w:r>
    </w:p>
    <w:p>
      <w:r>
        <w:t xml:space="preserve">朱玉辰表示,证监会正在研究公募基金参与股指期货市场办法,相信很快会推出.保险资金、境外机构参与股指期货的相关办法也在有关部门制定当中。</w:t>
      </w:r>
    </w:p>
    <w:p>
      <w:r>
        <w:t xml:space="preserve">"境外机构目前只能通过QFII参与股指期货,目前QFII投资A股总额度为300亿美元,其中部分比例可用于股指期货."朱玉辰说。</w:t>
      </w:r>
    </w:p>
    <w:p>
      <w:r>
        <w:t xml:space="preserve">他亦表示,境外机构参与股指期货额度目前是有监管、有控制、分步实施参与原则。</w:t>
      </w:r>
    </w:p>
    <w:p>
      <w:r>
        <w:t xml:space="preserve">朱玉辰同时表示,股指期货正式推出时间可能在4月.他解释道,国务院1月8日做出"批准"时表示,股指期货准备时间需要三个月,中金所仍然在按照这个时间区间进行筹备,具体的推出时间应该在这个区间。</w:t>
      </w:r>
    </w:p>
    <w:p>
      <w:r>
        <w:t xml:space="preserve">他还称,未来中金所会推出创业板、银行板块相关的股指期货创新品种,到了股指期权阶段,中金所有考虑引进做市商制度。</w:t>
      </w:r>
    </w:p>
    <w:p>
      <w:r>
        <w:t xml:space="preserve">朱玉辰表示,近期股指期货开户数量仍在稳步上升,"对于股指期货市场,我们是怕热不怕冷,一直持谨慎态度.要做到高标准、稳起步。"</w:t>
      </w:r>
    </w:p>
    <w:p>
      <w:hyperlink r:id="rId27">
        <w:r>
          <w:rPr>
            <w:rStyle w:val="Link"/>
          </w:rPr>
          <w:t xml:space="preserve">来源：路透网</w:t>
        </w:r>
      </w:hyperlink>
    </w:p>
    <w:p>
      <w:pPr>
        <w:pStyle w:val="Heading2"/>
      </w:pPr>
      <w:bookmarkStart w:id="28" w:name="金融保险-finance-and-insurance"/>
      <w:bookmarkEnd w:id="28"/>
      <w:r>
        <w:t xml:space="preserve">金融保险 Finance And Insurance</w:t>
      </w:r>
    </w:p>
    <w:p>
      <w:pPr>
        <w:pStyle w:val="Heading3"/>
      </w:pPr>
      <w:bookmarkStart w:id="29" w:name="财政部牵头制订地方融资平台管理办法"/>
      <w:bookmarkEnd w:id="29"/>
      <w:r>
        <w:t xml:space="preserve">财政部牵头制订地方融资平台管理办法</w:t>
      </w:r>
    </w:p>
    <w:p>
      <w:r>
        <w:t xml:space="preserve">地方融资平台潜在债务风险日益受监管层重视。昨日(3月4日)，银监会上海监管局局长阎庆民透露，财政部正牵头制订有关地方融资平台的相关管理办法，本月底或可出台。</w:t>
      </w:r>
    </w:p>
    <w:p>
      <w:pPr>
        <w:pStyle w:val="Heading4"/>
      </w:pPr>
      <w:bookmarkStart w:id="30" w:name="地方融资负债超60"/>
      <w:bookmarkEnd w:id="30"/>
      <w:r>
        <w:t xml:space="preserve">地方融资负债超60%</w:t>
      </w:r>
    </w:p>
    <w:p>
      <w:r>
        <w:t xml:space="preserve">昨日有媒体援引阎庆民在全国政协会议分组讨论时的话称，截至去年底，地方融资平台贷款余额约6万亿元。阎庆民表示，监管层主要是担心地方融资平台带来的财政风险和金融风险，银监会建议对地方融资平台进行分级管理。</w:t>
      </w:r>
    </w:p>
    <w:p>
      <w:r>
        <w:t xml:space="preserve">此前地方政府的潜在债务危机一直令市场关注，特别是2009年大量新增信贷涌入地方融资平台后，地方政府隐性债务问题日益凸显。</w:t>
      </w:r>
    </w:p>
    <w:p>
      <w:r>
        <w:t xml:space="preserve">有媒体报道称，去年中国新增信贷9.6万亿，其中约40%信贷资金流入地方政府融资项目。截至去年末，金融机构人民币各项贷款余额约39.97万亿元。</w:t>
      </w:r>
    </w:p>
    <w:p>
      <w:r>
        <w:t xml:space="preserve">央行去年四季度披露的数据显示，全国3800多家地方融资机构管理着约8万亿元规模的资产，其中，地方政府的负债已达5万亿元，平均负债率高达60%以上。</w:t>
      </w:r>
    </w:p>
    <w:p>
      <w:r>
        <w:t xml:space="preserve">针对地方融资平台的潜在风险，银监会此前已要求商业银行严控地方政府融资平台项目的新增贷款，并要求商业银行将现有平台公司的贷款“项目包”开包检查，以落实项目的资本金、土地等担保物的有效性。</w:t>
      </w:r>
    </w:p>
    <w:p>
      <w:r>
        <w:t xml:space="preserve">此外，银监会还要求商业银行加强对地方融资平台信贷资金的流向监管，严格三查(贷前调查、贷时审查和贷后检查)。</w:t>
      </w:r>
    </w:p>
    <w:p>
      <w:pPr>
        <w:pStyle w:val="Heading4"/>
      </w:pPr>
      <w:bookmarkStart w:id="31" w:name="或再发2000亿元地方债"/>
      <w:bookmarkEnd w:id="31"/>
      <w:r>
        <w:t xml:space="preserve">或再发2000亿元地方债</w:t>
      </w:r>
    </w:p>
    <w:p>
      <w:r>
        <w:t xml:space="preserve">全国政协委员、交银施罗德基金副总经理谢卫在递交的提案中表示，当前地方政府通过融资平台积聚的资金过于庞大，已积累了巨额风险，目前到了该对其分析清理的阶段。</w:t>
      </w:r>
    </w:p>
    <w:p>
      <w:r>
        <w:t xml:space="preserve">谢卫指出，“从目前情况看，支撑融资平台的主要是地方的卖地收入，这种卖地财政本身就具有很大的不确定性，一旦经济回调，或卖地财政受阻，地方的隐性财务问题就会爆发，同时银行的信贷资金也会形成不良资产，威胁我国的金融安全。”</w:t>
      </w:r>
    </w:p>
    <w:p>
      <w:r>
        <w:t xml:space="preserve">一位不愿透露姓名的业内人士对记者表示，地方融资平台风险较大的主要原因，在于地方融资平台治理结构不完善，缺乏实际的主营业务和固定资产，并严重依赖政府的财政担保，容易导致商业银行产生不良资产。</w:t>
      </w:r>
    </w:p>
    <w:p>
      <w:r>
        <w:t xml:space="preserve">对此，中金公司曾在报告中透露，财政部牵头的规范地方政府融资平台文件征求意见稿，明确地方政府和人大不得提供直接和变相的担保。</w:t>
      </w:r>
    </w:p>
    <w:p>
      <w:r>
        <w:t xml:space="preserve">也有知情人士透露，财政部牵头制订地方融资平台管理办法，目的旨在对现有负债规模、结构进行全面清理，以整顿地方高负债的问题。</w:t>
      </w:r>
    </w:p>
    <w:p>
      <w:r>
        <w:t xml:space="preserve">对于解决问题的途径，谢卫开出的药方包括：规范中央和地方事权和财权的关系，在有条件的地区进行地方自主发债的试点；鼓励地方政府逐步实施预算公开；通过清理来摸清家底，对一些有发展前景的融资项目，应该有意识地让更多的投融资主体来参与。</w:t>
      </w:r>
    </w:p>
    <w:p>
      <w:r>
        <w:t xml:space="preserve">同时，坊间也有消息称，管理办法或考虑允许省级政府通过发行地方债等途径来获得合理的地方发展资金，仅具有融资功能的地方融资平台，未来将面临关闭。</w:t>
      </w:r>
    </w:p>
    <w:p>
      <w:r>
        <w:t xml:space="preserve">目前地方政府并无直接发债资格。去年，中国首次以中央代发形式发行了2000亿元3年期地方政府债券，用于地方政府民生以及公益性项目的建设。</w:t>
      </w:r>
    </w:p>
    <w:p>
      <w:r>
        <w:t xml:space="preserve">据悉，今年即将提交“两会”审议的2010年财政预算中，仍将包括总额为2000亿元的地方债；与去年类似，这2000亿元的地方债仍由中央代发。略有区别的是，在还债期限上，由2009年的3年期，调整为3年和5年期两种，同时，在各省间的分配额度上也进行了调整。</w:t>
      </w:r>
    </w:p>
    <w:p>
      <w:hyperlink r:id="rId32">
        <w:r>
          <w:rPr>
            <w:rStyle w:val="Link"/>
          </w:rPr>
          <w:t xml:space="preserve">来源：金融街PE资讯</w:t>
        </w:r>
      </w:hyperlink>
    </w:p>
    <w:p>
      <w:pPr>
        <w:pStyle w:val="Heading3"/>
      </w:pPr>
      <w:bookmarkStart w:id="33" w:name="民生银行董事长两会提案出台专策鼓励银行开展小企业贷款"/>
      <w:bookmarkEnd w:id="33"/>
      <w:r>
        <w:t xml:space="preserve">民生银行董事长两会提案：出台专策鼓励银行开展小企业贷款</w:t>
      </w:r>
    </w:p>
    <w:p>
      <w:r>
        <w:t xml:space="preserve">在“两会”召开之际，全国政协委员、全国政协经济委员会副主任、中国民生银行董事长董文标向全国政协递交了《鼓励商业银行小企业贷款相关政策建议》的提案。</w:t>
      </w:r>
    </w:p>
    <w:p>
      <w:r>
        <w:t xml:space="preserve">在我国，小微企业占企业总数的99%以上，他们在活跃市场、增加税收、创造就业、保持社会稳定等方面发挥着巨大作用，是经济发展和社会健康发展的重要力量。长期以来，融资难是制约小微企业生存和发展的瓶颈。在始于2008年下半年的这一轮经济剧烈波动中，融资难导致小微企业生存难的问题更加凸显。董文标指出，虽然国家有关部委相继出台了扶植中小企业的诸多政策，但是这些政策还不能从根本上解决小微企业融资难的问题。只有银行全面开展小微企业信贷业务，才是破解小微企业融资难的根本之道。</w:t>
      </w:r>
    </w:p>
    <w:p>
      <w:r>
        <w:t xml:space="preserve">民生银行是国内银行小微企业信贷业务的佼佼者，其小微企业信贷产品“商贷通”已经成为小微企业主高度认可的银行产品。2009年，民生银行累计发放支持小微企业、私营企业、个体工商户的贷款突破600亿元；商户融资客户累计近3.2万人。虽然取得了这些成绩，但是董文标认为，我国商业银行特别是股份制商业银行近些年虽然做了一些积极的探索和有益尝试，但仍然面临着诸多政策、环境、股东回报和服务手段方面的制约和问题，小企业尤其是微小企业贷款难的问题在我国表现的依然突出。</w:t>
      </w:r>
    </w:p>
    <w:p>
      <w:r>
        <w:t xml:space="preserve">董文标提议，为了使金融机构更好地为小微企业提供金融支持，国家出台相关政策鼓励商业银行小企业贷款显得尤为必要。他建议，政府改变直接向特定中小企业提供资金支持和融资便利的传统做法，通过鼓励和引导银行开展小微企业信贷业务，从而间接实现解决小微企业融资难的目标。</w:t>
      </w:r>
    </w:p>
    <w:p>
      <w:r>
        <w:t xml:space="preserve">在提案中董文标建议，中央政府有关部委机构尽快出台财税和监管方面的五项政策，包括：尽快出台对商业银行小企业贷款税收优惠政策；允许商业银行对小企业贷款拨备税前列支；实行商业银行小企业贷款经济资本耗用差异化计量与监管；商业银行小企业贷款不纳入存贷比限额管理；允许商业银行小企业金融服务专营机构不良贷款快速核销。</w:t>
      </w:r>
    </w:p>
    <w:p>
      <w:r>
        <w:t xml:space="preserve">据董文标初步估算，相关政策引导如能释放商业银行6000亿元的信贷资源用以支持小微企业发展，中央和地方财政总支出不会超过140亿元。但6000亿元的信贷资源至少支持50万—70万家小微企业，直接或间接地增加近300万个就业机会，同时也会增加1.2万亿元销售额或产值，为国家带来的税收不会少于300亿元。</w:t>
      </w:r>
    </w:p>
    <w:p>
      <w:hyperlink r:id="rId34">
        <w:r>
          <w:rPr>
            <w:rStyle w:val="Link"/>
          </w:rPr>
          <w:t xml:space="preserve">来源：凤凰网</w:t>
        </w:r>
      </w:hyperlink>
    </w:p>
    <w:p>
      <w:pPr>
        <w:pStyle w:val="Heading2"/>
      </w:pPr>
      <w:bookmarkStart w:id="35" w:name="公司-corporate"/>
      <w:bookmarkEnd w:id="35"/>
      <w:r>
        <w:t xml:space="preserve">公司 Corporate</w:t>
      </w:r>
    </w:p>
    <w:p>
      <w:pPr>
        <w:pStyle w:val="Heading3"/>
      </w:pPr>
      <w:bookmarkStart w:id="36" w:name="复星凯雷获批首家外资pe合伙制企业"/>
      <w:bookmarkEnd w:id="36"/>
      <w:r>
        <w:t xml:space="preserve">复星凯雷获批首家外资PE合伙制企业</w:t>
      </w:r>
    </w:p>
    <w:p>
      <w:r>
        <w:t xml:space="preserve">复星和凯雷联手打造PE的计划紧锣密鼓进行中。2月24日宣布全面战略合作后，昨天双方共同投资的基金公司凯雷复星（上海）股权投资企业获得上海市工商局颁发的营业执照，这也是政策开闸之后全国首张外商投资股权投资合伙制企业营业执照。</w:t>
      </w:r>
    </w:p>
    <w:p>
      <w:r>
        <w:t xml:space="preserve">据记者了解，在去年12月初国务院颁布《外国企业或者个人在中国境内设立合伙企业管理办法》（下称《管理办法》）之前，中国允许PE管理公司采用合伙制的政策虽然在京津沪三地都已经先行先试，却仅限于国内资金。而今年3月1日《管理办法》的正式实施，为外资PE设合伙制的管理企业打开了一扇门。</w:t>
      </w:r>
    </w:p>
    <w:p>
      <w:r>
        <w:t xml:space="preserve">《管理办法》规定，只要符合中国有关外商投资的产业政策，不从事国家禁止外商投资的项目，外商就可以直接向中国工商部门申请设立合伙企业，无需经过商务部门。</w:t>
      </w:r>
    </w:p>
    <w:p>
      <w:r>
        <w:t xml:space="preserve">根据该《管理办法》，凯雷复星（上海）股权投资企业在昨天顺利领到了全国首张牌照。业内人士介绍，公司制与合伙制最大的区别就是在于税费、入伙退出等方面不同。</w:t>
      </w:r>
    </w:p>
    <w:p>
      <w:r>
        <w:t xml:space="preserve">凯雷复星（上海）股权投资企业有两个合伙人，即凯雷投资集团与复星集团，首期基金规模为1亿美元，资金由凯雷亚洲增长基金和复星集团各出5000万美元，持续投资中国高成长企业以及能受益于中国成长的国际企业。</w:t>
      </w:r>
    </w:p>
    <w:p>
      <w:hyperlink r:id="rId37">
        <w:r>
          <w:rPr>
            <w:rStyle w:val="Link"/>
          </w:rPr>
          <w:t xml:space="preserve">来源：搜狐财经</w:t>
        </w:r>
      </w:hyperlink>
    </w:p>
    <w:p>
      <w:pPr>
        <w:pStyle w:val="Heading3"/>
      </w:pPr>
      <w:bookmarkStart w:id="38" w:name="李毅中谷歌继续在华业务必须遵守中国法律"/>
      <w:bookmarkEnd w:id="38"/>
      <w:r>
        <w:t xml:space="preserve">李毅中：谷歌继续在华业务必须遵守中国法律</w:t>
      </w:r>
    </w:p>
    <w:p>
      <w:r>
        <w:t xml:space="preserve">中国日报网消息：3月8日，工信部部长李毅中当被问及对提出要退出中国的谷歌有什幺忠告时，李毅中表示，“如果谷歌还想继续在中国开展业务，(应)遵守中国的法律，尊重中国网民的意愿。”</w:t>
      </w:r>
    </w:p>
    <w:p>
      <w:r>
        <w:t xml:space="preserve">这是工信部部长李毅中在两会期间首次正面回应谷歌事件。</w:t>
      </w:r>
    </w:p>
    <w:p>
      <w:r>
        <w:t xml:space="preserve">当被问及当局是否在与谷歌进行谈判时，李毅中说，“这个事情谷歌自己知道”。</w:t>
      </w:r>
    </w:p>
    <w:p>
      <w:r>
        <w:t xml:space="preserve">2010年，1月12日，谷歌高级副总裁、首席法律顾问大卫·多姆德(David Drummond)在公司官方博客中表示，拟关闭谷歌中文版搜索网站(Google.cn)以及驻中国办事处，并声称不再愿意与中国政府合作继续对谷歌中国的搜索内容进行审查。此消息一出，在国内引起了巨大的反响。</w:t>
      </w:r>
    </w:p>
    <w:p>
      <w:hyperlink r:id="rId39">
        <w:r>
          <w:rPr>
            <w:rStyle w:val="Link"/>
          </w:rPr>
          <w:t xml:space="preserve">来源：华媒网</w:t>
        </w:r>
      </w:hyperlink>
    </w:p>
    <w:p>
      <w:pPr>
        <w:pStyle w:val="Heading2"/>
      </w:pPr>
      <w:bookmarkStart w:id="40" w:name="其它-others"/>
      <w:bookmarkEnd w:id="40"/>
      <w:r>
        <w:t xml:space="preserve">其它 Others</w:t>
      </w:r>
    </w:p>
    <w:p>
      <w:pPr>
        <w:pStyle w:val="Heading3"/>
      </w:pPr>
      <w:bookmarkStart w:id="41" w:name="李书福委员建议个税起征点调至5000元"/>
      <w:bookmarkEnd w:id="41"/>
      <w:r>
        <w:t xml:space="preserve">李书福委员建议个税起征点调至5000元</w:t>
      </w:r>
    </w:p>
    <w:p>
      <w:r>
        <w:t xml:space="preserve">“为了促进内需的增长，国家有关部门应尽快上调个人所得税起征点并推进个人所得税改革，改善民生，使广大工薪阶层的可支配收入再增加一些，保持经济的良性循环。”全国政协委员、吉利集团董事长李书福对记者表示。</w:t>
      </w:r>
    </w:p>
    <w:p>
      <w:r>
        <w:t xml:space="preserve">李书福委员表示，为了有效发挥个人所得税在促进公平、改善民生、拉动内需等方面的重要作用，建议灵活上调个人所得税起征点，并将调整行为制度化。建议将现行的“个人所得税起征点2000元”调整为“个人所得税起征参考点为5000元，各省、市、自治区可根据本辖区财政实际情况最多上下浮动1000元”。</w:t>
      </w:r>
    </w:p>
    <w:p>
      <w:r>
        <w:t xml:space="preserve">此外，李书福建议，应适当降低工资收入的最高税率，建议将其设定在5%-35%的范围。还应采取综合和分类相结合的税制模式；允许纳税人选择按个人或按家庭为单位申报纳税。</w:t>
      </w:r>
    </w:p>
    <w:p>
      <w:hyperlink r:id="rId42">
        <w:r>
          <w:rPr>
            <w:rStyle w:val="Link"/>
          </w:rPr>
          <w:t xml:space="preserve">来源：人民网天津视窗</w:t>
        </w:r>
      </w:hyperlink>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43">
        <w:r>
          <w:rPr>
            <w:rStyle w:val="Link"/>
          </w:rPr>
          <w:t xml:space="preserve">unsubscribe@charltonslaw.com</w:t>
        </w:r>
      </w:hyperlink>
    </w:p>
    <w:p>
      <w:r>
        <w:rPr>
          <w:b/>
        </w:rPr>
        <w:t xml:space="preserve">易周律师行 - 法讯 - 中国 - 第328期 - 2010年03月08日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89d2172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7" Target="http://business.sohu.com/20100304/n270574866.shtml" TargetMode="External" /><Relationship Type="http://schemas.openxmlformats.org/officeDocument/2006/relationships/hyperlink" Id="rId27" Target="http://cn.reuters.com/article/cnInvNews/idCNCHINA-1808520100304" TargetMode="External" /><Relationship Type="http://schemas.openxmlformats.org/officeDocument/2006/relationships/hyperlink" Id="rId34" Target="http://finance.ifeng.com/news/special/lianghui2010/20100309/1904248.shtml" TargetMode="External" /><Relationship Type="http://schemas.openxmlformats.org/officeDocument/2006/relationships/hyperlink" Id="rId42" Target="http://www.022net.com/2010/3-3/434024132455809.html" TargetMode="External" /><Relationship Type="http://schemas.openxmlformats.org/officeDocument/2006/relationships/hyperlink" Id="rId25" Target="http://www.ccstock.cn/Stock/2010/201003/20100309063300_511527.html" TargetMode="External" /><Relationship Type="http://schemas.openxmlformats.org/officeDocument/2006/relationships/hyperlink" Id="rId39" Target="http://www.ccvic.com/guoji/huanqiuzixun/20100308/116558.shtml" TargetMode="External" /><Relationship Type="http://schemas.openxmlformats.org/officeDocument/2006/relationships/hyperlink" Id="rId21" Target="http://www.charltonslaw.com.cn/china-news-alerts-cn-issue-328/" TargetMode="External" /><Relationship Type="http://schemas.openxmlformats.org/officeDocument/2006/relationships/hyperlink" Id="rId32" Target="http://www.jinrongstreet.com/show.asp?id=8428" TargetMode="External" /><Relationship Type="http://schemas.openxmlformats.org/officeDocument/2006/relationships/hyperlink" Id="rId43"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37" Target="http://business.sohu.com/20100304/n270574866.shtml" TargetMode="External" /><Relationship Type="http://schemas.openxmlformats.org/officeDocument/2006/relationships/hyperlink" Id="rId27" Target="http://cn.reuters.com/article/cnInvNews/idCNCHINA-1808520100304" TargetMode="External" /><Relationship Type="http://schemas.openxmlformats.org/officeDocument/2006/relationships/hyperlink" Id="rId34" Target="http://finance.ifeng.com/news/special/lianghui2010/20100309/1904248.shtml" TargetMode="External" /><Relationship Type="http://schemas.openxmlformats.org/officeDocument/2006/relationships/hyperlink" Id="rId42" Target="http://www.022net.com/2010/3-3/434024132455809.html" TargetMode="External" /><Relationship Type="http://schemas.openxmlformats.org/officeDocument/2006/relationships/hyperlink" Id="rId25" Target="http://www.ccstock.cn/Stock/2010/201003/20100309063300_511527.html" TargetMode="External" /><Relationship Type="http://schemas.openxmlformats.org/officeDocument/2006/relationships/hyperlink" Id="rId39" Target="http://www.ccvic.com/guoji/huanqiuzixun/20100308/116558.shtml" TargetMode="External" /><Relationship Type="http://schemas.openxmlformats.org/officeDocument/2006/relationships/hyperlink" Id="rId21" Target="http://www.charltonslaw.com.cn/china-news-alerts-cn-issue-328/" TargetMode="External" /><Relationship Type="http://schemas.openxmlformats.org/officeDocument/2006/relationships/hyperlink" Id="rId32" Target="http://www.jinrongstreet.com/show.asp?id=8428" TargetMode="External" /><Relationship Type="http://schemas.openxmlformats.org/officeDocument/2006/relationships/hyperlink" Id="rId43"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第328期 - 2010年03月08日</dc:title>
  <dc:creator/>
</cp:coreProperties>
</file>