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第331期</w:t>
      </w:r>
      <w:r>
        <w:t xml:space="preserve"> </w:t>
      </w:r>
      <w:r>
        <w:t xml:space="preserve">-</w:t>
      </w:r>
      <w:r>
        <w:t xml:space="preserve"> </w:t>
      </w:r>
      <w:r>
        <w:t xml:space="preserve">2010年03月29日</w:t>
      </w:r>
    </w:p>
    <w:p>
      <w:hyperlink r:id="rId21">
        <w:r>
          <w:rPr>
            <w:rStyle w:val="Link"/>
          </w:rPr>
          <w:t xml:space="preserve">网络版</w:t>
        </w:r>
      </w:hyperlink>
    </w:p>
    <w:p>
      <w:pPr>
        <w:pStyle w:val="Heading1"/>
      </w:pPr>
      <w:bookmarkStart w:id="22" w:name="法讯中国第331期"/>
      <w:bookmarkEnd w:id="22"/>
      <w:r>
        <w:t xml:space="preserve">法讯中国第331期</w:t>
      </w:r>
    </w:p>
    <w:p>
      <w:pPr>
        <w:pStyle w:val="Heading2"/>
      </w:pPr>
      <w:bookmarkStart w:id="23" w:name="资本市场-capital-markets"/>
      <w:bookmarkEnd w:id="23"/>
      <w:r>
        <w:t xml:space="preserve">资本市场 Capital Markets</w:t>
      </w:r>
    </w:p>
    <w:p>
      <w:pPr>
        <w:pStyle w:val="Heading3"/>
      </w:pPr>
      <w:bookmarkStart w:id="24" w:name="中国银行去年净赚853亿增31"/>
      <w:bookmarkEnd w:id="24"/>
      <w:r>
        <w:t xml:space="preserve">中国银行去年净赚853亿增31％</w:t>
      </w:r>
    </w:p>
    <w:p>
      <w:r>
        <w:t xml:space="preserve">今日，中国银行（601988）披露2009年业绩报告。作为四大国有银行之一的中行在去年成绩靓丽，实现净利润853.49亿元，同比增长31.16%，每股收益0.32元人民币。截至昨日收盘，中国银行Ａ股收于4.15元，微跌0.01元或0.24%；港股收于4.04元，略涨0.07港元或1.76%。</w:t>
      </w:r>
    </w:p>
    <w:p>
      <w:pPr>
        <w:pStyle w:val="Heading4"/>
      </w:pPr>
      <w:bookmarkStart w:id="25" w:name="非利息收入促净利增加"/>
      <w:bookmarkEnd w:id="25"/>
      <w:r>
        <w:t xml:space="preserve">非利息收入促净利增加</w:t>
      </w:r>
    </w:p>
    <w:p>
      <w:r>
        <w:t xml:space="preserve">2009年，中国银行盈利能力显著提升。全年实现营业收入2321.98亿元，同比增长1.71%，净利润853.49亿元，同比增长31.16%，归属于母公司所有者权益合计5149.92亿元，同比增长9.98 ％，股东应享每股收益为0.32元，同比增加0.07元。非利息收入占营业收入的比重为31.70%，在国内商业银行中是最高的。</w:t>
      </w:r>
    </w:p>
    <w:p>
      <w:r>
        <w:t xml:space="preserve">中行称，净利润的增长受益于中间业务收入增长和资产减值损失的收缩。该行2009年非利息收入达到737.35亿元，同比上涨11.79%。其中，占比31.07%的手续费及佣金收入达到460.13亿元，同比增长15.19%。</w:t>
      </w:r>
    </w:p>
    <w:p>
      <w:r>
        <w:t xml:space="preserve">同时，支撑中行2009年业绩增长的另一原因是资产减值损失的收缩。年报显示，中行2009年资产减值损失149.87亿元，同比下降66.72%。</w:t>
      </w:r>
    </w:p>
    <w:p>
      <w:r>
        <w:t xml:space="preserve">此外，受外币债券价格回升等受益，中行2009年其他资产减值损失回拨4.58亿元。同时，公司去年营业费用同比下降9.86%至1070.21亿元。</w:t>
      </w:r>
    </w:p>
    <w:p>
      <w:r>
        <w:t xml:space="preserve">不过，由于受2008年连续降息影响，贷款利率下降幅度较之存款利率下降幅度更大，该行去年净利息收入仅为1588.81亿元，同比下降2.49%。“以量补差”效果差强人意，2009年规模因素推动净利息收入增长459.41亿元，利率因素使净利息收入减少499.96亿元。2009年末，该行的净息差为2.04%，较2008年下降0.59个百分点。</w:t>
      </w:r>
    </w:p>
    <w:p>
      <w:r>
        <w:t xml:space="preserve">年报也特别指出，自2009年下半年，中行净息差呈现较为明显的企稳回升态势，其中，中国内地人民币业务净息差为2.21%，较上半年提高0.03个百分点?鸦中国内地外币业务净息差为1.44 ％，较上半年降幅收窄。</w:t>
      </w:r>
    </w:p>
    <w:p>
      <w:pPr>
        <w:pStyle w:val="Heading4"/>
      </w:pPr>
      <w:bookmarkStart w:id="26" w:name="需要补充资本充足率"/>
      <w:bookmarkEnd w:id="26"/>
      <w:r>
        <w:t xml:space="preserve">需要补充资本充足率</w:t>
      </w:r>
    </w:p>
    <w:p>
      <w:r>
        <w:t xml:space="preserve">年报显示，截至2009年末，中国银行资本充足率为11.14%，核心资本充足率为9.07%，分别比三季末的11.63% 和9.37%下降0.49个百分点和0.3个百分点，已经迫近监管红线，再融资压力仍存。</w:t>
      </w:r>
    </w:p>
    <w:p>
      <w:r>
        <w:t xml:space="preserve">中行负责人表示，该行拟通过进一步优化资产结构减少资本占用，并通过提高盈利能力增强资本积累。同时，利用两地资本市场补充资本。</w:t>
      </w:r>
    </w:p>
    <w:p>
      <w:r>
        <w:t xml:space="preserve">中行于今年1月公告称，将择机在Ｈ股市场实施配售不超过152亿股。3月19日中行召开的临时股东大会，已经审议批准不超过Ａ股和Ｈ股各自20%股份的一般性授权。目前，该行发行400亿Ａ股可转债的计划正在积极推进中，并将抓紧研究Ｈ股融资方案，用于补充资本金与运营资金，提高资本充足率。</w:t>
      </w:r>
    </w:p>
    <w:p>
      <w:r>
        <w:t xml:space="preserve">年报显示，去年中行的资产质量得到持续改善。截至2009年末，该行年末减值贷款余额760.06亿元，比上年末减少148.73亿元，减值贷款率1.55%，下降1.21个百分点。不良贷款拨备覆盖率151.17%，比上年末提高29.45个百分点。</w:t>
      </w:r>
    </w:p>
    <w:p>
      <w:pPr>
        <w:pStyle w:val="Heading4"/>
      </w:pPr>
      <w:bookmarkStart w:id="27" w:name="房地产不良贷款不良率双降"/>
      <w:bookmarkEnd w:id="27"/>
      <w:r>
        <w:t xml:space="preserve">房地产不良贷款不良率双降</w:t>
      </w:r>
    </w:p>
    <w:p>
      <w:r>
        <w:t xml:space="preserve">截至2009年末，该行房地产贷款余额为2419亿元，包括房地产开发贷款、土地储备贷款和资产支持类贷款三部分，较上年末共增加871亿元，占人民币公司贷款比重7.62%。其中，房地产开发贷款1486亿元，占人民币公司贷款比重为4.68%。</w:t>
      </w:r>
    </w:p>
    <w:p>
      <w:r>
        <w:t xml:space="preserve">中行房地产公司不良贷款余额和不良率持续双降。截至2009年末，房地产公司不良贷款余额较上年下降23亿元，不良率1.50%，较上年末下降2.34个百分点。客户贷款抵押成数一般保持在50%左右。</w:t>
      </w:r>
    </w:p>
    <w:p>
      <w:r>
        <w:t xml:space="preserve">中行负责人表示，2010年中行房地产行业的信贷策略是选择性增长，将按组合管理要求严格控制总量，把握贷款节奏。注重防范市场波动和政策调整风险，有保有压，择优选择客户和项目。</w:t>
      </w:r>
    </w:p>
    <w:p>
      <w:hyperlink r:id="rId28">
        <w:r>
          <w:rPr>
            <w:rStyle w:val="Link"/>
          </w:rPr>
          <w:t xml:space="preserve">来源：凤凰网</w:t>
        </w:r>
      </w:hyperlink>
    </w:p>
    <w:p>
      <w:pPr>
        <w:pStyle w:val="Heading3"/>
      </w:pPr>
      <w:bookmarkStart w:id="29" w:name="吴晓灵利用公益平台开展农村金融扶贫教育"/>
      <w:bookmarkEnd w:id="29"/>
      <w:r>
        <w:t xml:space="preserve">吴晓灵：利用公益平台开展农村金融扶贫教育</w:t>
      </w:r>
    </w:p>
    <w:p>
      <w:r>
        <w:t xml:space="preserve">全国人大财经委副主任委员、中国人民银行研究生部部务委员会主席吴晓灵就农村公益事业发表观点</w:t>
      </w:r>
    </w:p>
    <w:p>
      <w:r>
        <w:t xml:space="preserve">3月25日，由中国人民银行和德国技术合作公司联合主办的“第二届小额贷款机构与国际投资者交流会暨小额贷款公司研讨会”在京举行，和讯网独家网络直播。全国人大财经委副主任委员、中国人民银行研究生部部务委员会主席吴晓灵在会上表示利用公益平台进行金融教育，体现金融业的社会责任，提高金融业的服务水平，和推行小额信贷密切相关。</w:t>
      </w:r>
    </w:p>
    <w:p>
      <w:r>
        <w:t xml:space="preserve">吴晓灵：中国教育发展基金会愿意作为中国小额信贷发展交流的平台，我想中国金融教育发展基金会，他的宗旨就是以教育推动金融的发展。我们从2008年开始，已经在中西部开展了金惠工程，这项工程在国际贫困县开展农村金融教育，助推扶贫教育，我们是从三个方面展开的，第一对客户展开，当好诚信的客户，我们已经编好了客户教材。第二个方面我们要对从业人员和潜在从业人员进行教育，我刚才讲过了，很多的小额贷款是一个专门技术，除了现在的金融机构，社会上也有很多的人想进入到金融领域。就像开会的小额信贷的同志们他们也可以进入到这个领域来，因而对要进入小额信贷领域当中的人我们也希望对他们有教育。第三个方面县乡村的教育。创造良好的金融教育。我想利用公益平台进行金融教育，体现金融业的社会责任，提高金融业的服务水平，要推行的小额信贷是密切相关的。</w:t>
      </w:r>
    </w:p>
    <w:p>
      <w:hyperlink r:id="rId30">
        <w:r>
          <w:rPr>
            <w:rStyle w:val="Link"/>
          </w:rPr>
          <w:t xml:space="preserve">来源：教育频道</w:t>
        </w:r>
      </w:hyperlink>
    </w:p>
    <w:p>
      <w:pPr>
        <w:pStyle w:val="Heading3"/>
      </w:pPr>
      <w:bookmarkStart w:id="31" w:name="商务部副部长钟山强迫人民币升值会适得其反"/>
      <w:bookmarkEnd w:id="31"/>
      <w:r>
        <w:t xml:space="preserve">商务部副部长钟山：强迫人民币升值会适得其反</w:t>
      </w:r>
    </w:p>
    <w:p>
      <w:r>
        <w:t xml:space="preserve">新华网华盛顿3月24日电 （记者 刘丽娜 刘洪）中国商务部副部长钟山24日在中国驻美使馆与中外记者会见时说，受金融危机影响，中美双方都面临着巨大的经济增长和就业压力。中美应携手合作，共同应对这些问题，而非为自身的国内问题寻找替罪羊，强迫人民币升值的结果只会适得其反。</w:t>
      </w:r>
    </w:p>
    <w:p>
      <w:r>
        <w:t xml:space="preserve">钟山说，目前中美经贸关系面临的最大挑战是贸易保护主义以及中美经贸问题政治化。历史经验证明，贸易保护主义以邻为壑，害人害己，只会对世界经济复苏造成不利影响，中美双方应共同反对各种形式的贸易保护主义。</w:t>
      </w:r>
    </w:p>
    <w:p>
      <w:r>
        <w:t xml:space="preserve">目前美国国内存在一种声音，将美国的失业增加归咎于中美贸易不平衡，认为人民币被低估了，构成对中国出口产品的补贴。钟山认为，这些看法是错误的。他说，人民币汇率不是造成美对华贸易逆差的根本原因，汇率也不是解决美国就业问题的“钥匙”。</w:t>
      </w:r>
    </w:p>
    <w:p>
      <w:r>
        <w:t xml:space="preserve">钟山说，中美经济结构高度互补，双方在许多产业上是一种互补和合作的关系，而非相互竞争的关系。迫使人民币升值并不能解决美国的贸易赤字和就业问题。中国对美出口的许多产品，美国内已不再生产，并不与美形成直接竞争，不是造成美失业的原因。美国减少从中国进口这些产品，结果只能是扩大从其他国家的进口，对美国内增加就业并没有帮助。</w:t>
      </w:r>
    </w:p>
    <w:p>
      <w:r>
        <w:t xml:space="preserve">他说，人民币汇率基本稳定不仅对中国有利，对美国有利，对整个世界经济也有利。数字显示，中国汇率如果大幅升值，将给发展中国家和不发达国家经济带来严重影响。中国不仅希望人民币相对稳定，也希望美元币值保持相对稳定。如果美元大幅贬值，将会给正在从危机中复苏的世界经济带来灾难，特别是持有大量美国国债的国家，将受到巨大损失。</w:t>
      </w:r>
    </w:p>
    <w:p>
      <w:r>
        <w:t xml:space="preserve">钟山说，人民币升值不能解决中美贸易不平衡问题。从2005年7月到2008年7月，人民币升值21％，而中国对美国贸易顺差大幅增长。反而是2009年对美元汇率相对稳定后，中美贸易顺差在减少。2009年，中国进出口贸易下降13．9％。数据说明，人民币汇率不是解决贸易平衡的唯一办法。</w:t>
      </w:r>
    </w:p>
    <w:p>
      <w:r>
        <w:t xml:space="preserve">中美双边经贸合作规模大、领域广、发展快，出现一些摩擦和问题在所难免。只要双方坚持从战略高度和长远角度看待和处理中美经贸关系，通过沟通协商妥善处理经贸摩擦，就能够求同存异，推动双边经贸关系不断向前发展。中美应携手努力，深化双边经贸合作，积极寻找和扩大利益契合点，推动双边经贸关系更上一层楼。</w:t>
      </w:r>
    </w:p>
    <w:p>
      <w:r>
        <w:t xml:space="preserve">钟山表示，过去30年，中美双方也时常遇到挑战。最近，中美贸易也出现一些新的挑战。中美双方政治家一定有智慧和能力来解决目前的问题。</w:t>
      </w:r>
    </w:p>
    <w:p>
      <w:hyperlink r:id="rId32">
        <w:r>
          <w:rPr>
            <w:rStyle w:val="Link"/>
          </w:rPr>
          <w:t xml:space="preserve">来源：腾讯财经</w:t>
        </w:r>
      </w:hyperlink>
    </w:p>
    <w:p>
      <w:pPr>
        <w:pStyle w:val="Heading3"/>
      </w:pPr>
      <w:bookmarkStart w:id="33" w:name="工行拟发至多250亿a股可转债"/>
      <w:bookmarkEnd w:id="33"/>
      <w:r>
        <w:t xml:space="preserve">工行拟发至多250亿A股可转债</w:t>
      </w:r>
    </w:p>
    <w:p>
      <w:r>
        <w:t xml:space="preserve">昨日，中国工商银行董事会审议通过了相关议案，拟在A股市场公开发行不超过250亿元人民币A股可转债，并在H股市场发行不超过H股股本20％的股份，所募集的资金将用于补充资本金。此次融资完成后，工行原则上未来三年将不再通过二级市场融资。</w:t>
      </w:r>
    </w:p>
    <w:p>
      <w:r>
        <w:t xml:space="preserve">不过，上述议案还需提交工行股东大会审议。待股东大会审议通过后，中国工商银行将根据市场情况、资金需求和投资者意向等因素择机发行A股可转债和启动H股发行。</w:t>
      </w:r>
    </w:p>
    <w:p>
      <w:r>
        <w:t xml:space="preserve">问及发债时间，工行董事长姜建清表示，工行的资本充足率处于可比同业最高水平，也明显高于监管要求。因此工行可以更从容的选择一个好的时间和窗口条件，而不急于马上发债。“中间会有很多程序，目前预计离正式融资还有相当长时间。”他表示。</w:t>
      </w:r>
    </w:p>
    <w:p>
      <w:r>
        <w:t xml:space="preserve">2009年以来，工行境内分行人民币贷款余额增加10352亿元，贷款增幅为24.2％，增速较以往年度有较大幅度的提升。这导致截至2009年末，工行的资本充足率和核心资本充足率出现明显下降，分别保持在12.36％和9.9％，仍远高于监管机构的规定。</w:t>
      </w:r>
    </w:p>
    <w:p>
      <w:r>
        <w:t xml:space="preserve">2010年，随着全球监管机构纷纷要求商业银行提高资本充足水平，特别是对关系国计民生的大银行的资本监管更趋严格，为了以可持续的提高资本质量和资本充足率水平，工行在下一步不断发展的过程中将进一步完善多种形式的资本补充机制。</w:t>
      </w:r>
    </w:p>
    <w:p>
      <w:r>
        <w:t xml:space="preserve">工行相关人士表示，此次工行在现行资本监管法规框架内，在综合考虑监管规定、市场需求、融资成本、融资效率以及对市场影响等各方面因素的前提下，提出了在A股和H股两个市场分别采取A股可转债和H股发行的方式进行融资的方案。这个方案采取两地融资的方式，减轻了对单一市场的资金压力。同时，由于可转债产品具备转股权价值和还本保底收益的特点，较好地满足了A股市场中不同类型投资者的需求。</w:t>
      </w:r>
    </w:p>
    <w:p>
      <w:r>
        <w:t xml:space="preserve">有关分析人士认为，工行立足当前，着眼长远，此举可谓是提前完成未来一段时间的资本补充，有利于投资者明确预期，有利于市场的平稳发展。</w:t>
      </w:r>
    </w:p>
    <w:p>
      <w:r>
        <w:t xml:space="preserve">姜建清还表示，目前工行内源资本补充能力非常强。去年该行分红率为44.84％，其余部分利润全部用于补充资本。该行的目标是一直将资本充足率保持在12％以上。</w:t>
      </w:r>
    </w:p>
    <w:p>
      <w:hyperlink r:id="rId34">
        <w:r>
          <w:rPr>
            <w:rStyle w:val="Link"/>
          </w:rPr>
          <w:t xml:space="preserve">来源：金融界</w:t>
        </w:r>
      </w:hyperlink>
    </w:p>
    <w:p>
      <w:pPr>
        <w:pStyle w:val="Heading2"/>
      </w:pPr>
      <w:bookmarkStart w:id="35" w:name="公司与商业-corporate-commercial"/>
      <w:bookmarkEnd w:id="35"/>
      <w:r>
        <w:t xml:space="preserve">公司与商业 Corporate &amp; Commercial</w:t>
      </w:r>
    </w:p>
    <w:p>
      <w:pPr>
        <w:pStyle w:val="Heading3"/>
      </w:pPr>
      <w:bookmarkStart w:id="36" w:name="bg和中海油达成20年期lng购销协议"/>
      <w:bookmarkEnd w:id="36"/>
      <w:r>
        <w:t xml:space="preserve">BG和中海油达成20年期LNG购销协议</w:t>
      </w:r>
    </w:p>
    <w:p>
      <w:r>
        <w:t xml:space="preserve">BG Group PLC (BG.LN)和中国海洋石油总公司(China National Offshore Oil Corp., 简称：中海油)周三就澳大利亚昆士兰州液化天然气(LNG)签署了为期20年的购销协议，该交易或消除部分人士对于煤层气出口可行性的疑虑。</w:t>
      </w:r>
    </w:p>
    <w:p>
      <w:r>
        <w:t xml:space="preserve">上述交易已经获得澳大利亚外商投资审核委员会(Foreign Investment Review Board)批准。该交易表明，尽管中澳两国过去一年在政治方面存在一些纷争，但两国之间的商业联系仍在不断发展。</w:t>
      </w:r>
    </w:p>
    <w:p>
      <w:r>
        <w:t xml:space="preserve">根据协议，中海油每年将从BG拟建的昆士兰州出口终端购买360万吨液化天然气。鉴于液化天然气价格在20年合同期内可能会上下波动，要对该交易价值进行评估有些困难，但据媒体报导估计，该交易价值至多可达800亿澳元。</w:t>
      </w:r>
    </w:p>
    <w:p>
      <w:r>
        <w:t xml:space="preserve">中海油还将收购BG在昆士兰州Surat盆地部分探矿区煤层气项目5%的权益。BG在公告中表示，被出售的资产帐面价值约为2.7亿美元。</w:t>
      </w:r>
    </w:p>
    <w:p>
      <w:r>
        <w:t xml:space="preserve">另外，在上述液化天然气项目两个液化天然气生产线中，中海油还打算持有其中一个10%的股权。</w:t>
      </w:r>
    </w:p>
    <w:p>
      <w:r>
        <w:t xml:space="preserve">BG和中海油还将设立一个财团，在中国建造两艘液化天然气船，以便将天然气运至中国。</w:t>
      </w:r>
    </w:p>
    <w:p>
      <w:r>
        <w:t xml:space="preserve">中海油大约在一年前同意了该交易的初步条款。</w:t>
      </w:r>
    </w:p>
    <w:p>
      <w:r>
        <w:t xml:space="preserve">澳大利亚能源部长Martin Ferguson周三证实，澳大利亚外商投资审核委员会已经批准中海油入股投资BG的煤层气项目以及LNG生产线。</w:t>
      </w:r>
    </w:p>
    <w:p>
      <w:r>
        <w:t xml:space="preserve">从购销量来看，周三的交易是澳大利亚历史上规模最大的单笔LNG合同，超过了埃克森美孚(ExxonMobil Corp.)去年宣布的类似交易；当时埃克森美孚宣布每年向中国石油天然气股份有限公司(PetroChina Co., PTR, 简称：中国石油)供应225万吨来自西澳大利亚州Gorgon气田的LNG。</w:t>
      </w:r>
    </w:p>
    <w:p>
      <w:hyperlink r:id="rId37">
        <w:r>
          <w:rPr>
            <w:rStyle w:val="Link"/>
          </w:rPr>
          <w:t xml:space="preserve">来源：华尔街日报</w:t>
        </w:r>
      </w:hyperlink>
    </w:p>
    <w:p>
      <w:pPr>
        <w:pStyle w:val="Heading3"/>
      </w:pPr>
      <w:bookmarkStart w:id="38" w:name="中国副经济转型调结构的首要任务是扩大内需总理李克强"/>
      <w:bookmarkEnd w:id="38"/>
      <w:r>
        <w:t xml:space="preserve">中国副：经济转型、调结构的首要任务是扩大内需总理李克强</w:t>
      </w:r>
    </w:p>
    <w:p>
      <w:r>
        <w:t xml:space="preserve">中国国务院副总理李克强周日(3月21日)表示，转变经济发展方式、调整经济结构的首要任务是扩大内需。中国将坚持以内需为主、内外需结合；继续优化投资结构，寻求投资与消费的结合点，努力实现增投资、扩消费、惠民生的一举多得。</w:t>
      </w:r>
    </w:p>
    <w:p>
      <w:r>
        <w:t xml:space="preserve">李克强在2010年中国发展高层论坛上进行开幕致词时强调，把中国经济发展的好势头保持下去，需要加快经济发展方式转变，推动经济转型和发展模式创新，着力提高经济增长质量和效益。</w:t>
      </w:r>
    </w:p>
    <w:p>
      <w:r>
        <w:t xml:space="preserve">他指出，经济发展方式问题的主要症结在于经济结构不合理。调整经济结构是保持经济平稳较快发展、管理好通胀预期的重要结合点，是增强经济抗风险能力的必然要求，是转变经济发展方式的重大举措。</w:t>
      </w:r>
    </w:p>
    <w:p>
      <w:r>
        <w:t xml:space="preserve">他提出，将加快改造提升传统产业，不失时机发展战略性新兴产业，提高服务业产值和就业比重，培育壮大现代产业体系。 同时，强化技术改造，淘汰落后产能，加快发展绿色经济、循环经济和节能环保产业，推广应用低碳技术，积极应对气候变化，实现产业升级和结构优化。</w:t>
      </w:r>
    </w:p>
    <w:p>
      <w:r>
        <w:t xml:space="preserve">李克强并表示，由于世界经济存在许多不确定不稳定因素，国内长期矛盾与短期问题相互交织，经济发展面临的形势依然复杂。挑战和机遇前所未有，但机遇大于挑战。</w:t>
      </w:r>
    </w:p>
    <w:p>
      <w:r>
        <w:t xml:space="preserve">国际社会应采取实际行动，共同反对贸易保护主义，促进世界经济健康复苏和持续发展。</w:t>
      </w:r>
    </w:p>
    <w:p>
      <w:hyperlink r:id="rId39">
        <w:r>
          <w:rPr>
            <w:rStyle w:val="Link"/>
          </w:rPr>
          <w:t xml:space="preserve">来源：外汇网</w:t>
        </w:r>
      </w:hyperlink>
    </w:p>
    <w:p>
      <w:pPr>
        <w:pStyle w:val="Heading2"/>
      </w:pPr>
      <w:bookmarkStart w:id="40" w:name="其他-others"/>
      <w:bookmarkEnd w:id="40"/>
      <w:r>
        <w:t xml:space="preserve">其他 Others</w:t>
      </w:r>
    </w:p>
    <w:p>
      <w:pPr>
        <w:pStyle w:val="Heading3"/>
      </w:pPr>
      <w:bookmarkStart w:id="41" w:name="保险集团非主业投资红线划定"/>
      <w:bookmarkEnd w:id="41"/>
      <w:r>
        <w:t xml:space="preserve">保险集团非主业投资红线划定</w:t>
      </w:r>
    </w:p>
    <w:p>
      <w:r>
        <w:t xml:space="preserve">昨日，保监会发布《保险集团公司管理办法(试行)》(以下简称《办法(试行)》)规定，保险集团及其子公司非主业投资合计不得超过集团净资产的40%，以保证其主业经营安全。</w:t>
      </w:r>
    </w:p>
    <w:p>
      <w:r>
        <w:t xml:space="preserve">今年，保险业将面临1.5万亿元的资金配置压力，保险公司都在积极寻找新的投资渠道，而保险资金投资不动产细则又因种种原因一直“难产”。因此，部分保险集团及旗下公司开始蠢蠢欲动，开始先行布局不动产，有的甚至试图绕过拟设的5%投资上限，通过参股或控股地产公司来进行渠道拓宽。</w:t>
      </w:r>
    </w:p>
    <w:p>
      <w:r>
        <w:t xml:space="preserve">对此，市场无不担忧保险公司不断加大不动产投资会出现本末倒置现象，除了影响房价稳定，也会影响保险业的稳定。对此，《办法(试行)》规定，保险集团公司可投资保险公司、保险资产管理公司、保险专业中介机构和其他保险类企业等四类保险类企业。同时允许保险集团可投资与保险业务相关的非金融类企业，但是规定保险集团对其他非金融类企业的投资金额不得超过该企业实收资本的25%，且不得参与该企业的经营。同时为保险集团经营非保险类业务设定了上限，如保险集团及其子公司对非金融类企业的投资总额不得超过集团合并净资产的10%，投资商业银行等非保险类金融企业的投资不得超过集团合并净资产的30%，合计不超过集团净资产的40%。</w:t>
      </w:r>
    </w:p>
    <w:p>
      <w:r>
        <w:t xml:space="preserve">为了防止非主营业务影响保险业务的稳定发展，《办法(试行)》指出，“集团下属的保险子公司未达到金融监管机构规定的审慎监管要求，发生业务或财务状况显著恶化的，保监会可以要求保险集团公司协助其恢复正常运营，或于一定期间内处分其持有的其他成员公司部分或全部股权，所得款项用于改善其所属保险子公司的财务状况”。</w:t>
      </w:r>
    </w:p>
    <w:p>
      <w:r>
        <w:t xml:space="preserve">当危及到保险子公司经营状况时，保险集团也将不得不面临降低对子公司所持股份的选择，如限期处置非保险子公司的股份，或降低所持保险子公司股份至25%以下。</w:t>
      </w:r>
    </w:p>
    <w:p>
      <w:r>
        <w:t xml:space="preserve">《办法(试行)》还对保险集团的业务范围及资金运用做出规范，如保险集团的业务以股权投资及管理为主，对外股权投资及投资设立相关企业应以自有资金出资。</w:t>
      </w:r>
    </w:p>
    <w:p>
      <w:r>
        <w:t xml:space="preserve">据了解，目前中国保险业有7家集团公司和1家控股公司，分别为中国人保集团、中国人寿集团、中国再保险集团、中国太平保险集团、中国平安保险集团、中国太保集团、阳光保险集团和中华联合保险控股公司。截至2009年底，上述8家保险集团(控股)公司合并总资产总计为31900亿元，合并净资产总计为3210亿元，2009年合并原保费收入总计为8419亿元，三项均占行业总规模的3/4。</w:t>
      </w:r>
    </w:p>
    <w:p>
      <w:r>
        <w:t xml:space="preserve">此外，《办法(试行)》还对保险集团的准入条件、公司治理、资本管理、信息披露以及监督管理做出明确规定，保险集团设立需连续经营时间不低于6年、最近三年盈利、净资产不低于10亿元、总资产不低于100亿元等。</w:t>
      </w:r>
    </w:p>
    <w:p>
      <w:r>
        <w:t xml:space="preserve">“保监会将进一步规范保险集团公司市场准入，严把入口关，逐步建立保险集团公司投资管理、集团管控、风险防火墙、并表监管等关键领域的监管制度。”保监会办公厅副主任蔡基谱在昨日举行的新闻发布会上表示。</w:t>
      </w:r>
    </w:p>
    <w:p>
      <w:hyperlink r:id="rId42">
        <w:r>
          <w:rPr>
            <w:rStyle w:val="Link"/>
          </w:rPr>
          <w:t xml:space="preserve">来源：数米基金网</w:t>
        </w:r>
      </w:hyperlink>
    </w:p>
    <w:p>
      <w:pPr>
        <w:pStyle w:val="Heading3"/>
      </w:pPr>
      <w:bookmarkStart w:id="43" w:name="中国绿色能源投资超美国居全球首位"/>
      <w:bookmarkEnd w:id="43"/>
      <w:r>
        <w:t xml:space="preserve">中国绿色能源投资超美国居全球首位</w:t>
      </w:r>
    </w:p>
    <w:p>
      <w:r>
        <w:t xml:space="preserve">3月26日消息，美国环保团体Pew慈善信托基金的一项调查显示，中国已经超越美国，成为全球绿色能源的顶尖投资国。调查报告表示，中国已展现要站在绿色科技最前线的决心，美国投资人则因为气候变迁法规的争议不休，而显得迟疑不前。</w:t>
      </w:r>
    </w:p>
    <w:p>
      <w:r>
        <w:t xml:space="preserve">报告指出，中国2009年在绿色能源上的投资激增逾50%，总额达到346亿美元，远远超过20国集团(G20)的所有成员国。美国的投资是186亿美元，大约只有中国的一半，是美国五年来首度失去绿色能源最大投资国的地位。</w:t>
      </w:r>
    </w:p>
    <w:p>
      <w:r>
        <w:t xml:space="preserve">据台湾《经济日报》消息，Pew环境团体的全球暖化运动主任库提诺说：“中国已崛起成为世界绿色能源大国，这是相当惊人的成长，因为仅仅五年前，中国在这个领域的投资不过是区区 25亿美元。”</w:t>
      </w:r>
    </w:p>
    <w:p>
      <w:r>
        <w:t xml:space="preserve">不过，中国同时也替换美国，成为世界顶尖的碳排放国；二氧化碳气体的排放被认为是全球暖化的祸首。</w:t>
      </w:r>
    </w:p>
    <w:p>
      <w:r>
        <w:t xml:space="preserve">研究报告指出，中国为应付能源需求的激增，已策略上决定投资风力与太阳能科技，并且订定世界最具野心的再生能源目标。</w:t>
      </w:r>
    </w:p>
    <w:p>
      <w:r>
        <w:t xml:space="preserve">报告指出，英国在绿色能源上的投资也非常积极，以112亿美元排第三位。若以绿色科技投资占国内生产毛额（GDP）的比率计算，西班牙则排第一位。</w:t>
      </w:r>
    </w:p>
    <w:p>
      <w:r>
        <w:t xml:space="preserve">研究报告说，美国、澳大利亚与日本在绿色能源竞争上面临挣扎，三国的长期政策都显得“不太一致与明确”。美国总统奥巴马、澳大利亚总理陆克文与日本首相鸠山由纪夫都很重视气候变迁的议题，却都未推动全国性计划来抑制气体的排放。</w:t>
      </w:r>
    </w:p>
    <w:p>
      <w:r>
        <w:t xml:space="preserve">研究报告说，美国虽然在科技创新上居主宰地位，去年的洁净能源投资却比2008年锐减42%。</w:t>
      </w:r>
    </w:p>
    <w:p>
      <w:r>
        <w:t xml:space="preserve">绿色能源又称清洁能源是指可再生能源，如水能、生物能、太阳能、风能、地热能和海洋能。这些能源消耗之后可以恢复补充，很少产生污染。</w:t>
      </w:r>
    </w:p>
    <w:p>
      <w:hyperlink r:id="rId44">
        <w:r>
          <w:rPr>
            <w:rStyle w:val="Link"/>
          </w:rPr>
          <w:t xml:space="preserve">来源：国际财经时报</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5">
        <w:r>
          <w:rPr>
            <w:rStyle w:val="Link"/>
          </w:rPr>
          <w:t xml:space="preserve">unsubscribe@charltonslaw.com</w:t>
        </w:r>
      </w:hyperlink>
    </w:p>
    <w:p>
      <w:r>
        <w:rPr>
          <w:b/>
        </w:rPr>
        <w:t xml:space="preserve">易周律师行 - 法讯 - 中国 - 第331期 - 2010年03月29日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e9d03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chinese.wsj.com/gb/20100324/BCH002129.asp" TargetMode="External" /><Relationship Type="http://schemas.openxmlformats.org/officeDocument/2006/relationships/hyperlink" Id="rId30" Target="http://edu.aweb.com.cn/2010/3/25/511820100325162450.html" TargetMode="External" /><Relationship Type="http://schemas.openxmlformats.org/officeDocument/2006/relationships/hyperlink" Id="rId28" Target="http://finance.ifeng.com/roll/20100324/1959809.shtml" TargetMode="External" /><Relationship Type="http://schemas.openxmlformats.org/officeDocument/2006/relationships/hyperlink" Id="rId32" Target="http://finance.qq.com/a/20100325/002844.htm" TargetMode="External" /><Relationship Type="http://schemas.openxmlformats.org/officeDocument/2006/relationships/hyperlink" Id="rId39" Target="http://forex.cnfol.com/100322/134,1506,7414993,00.shtml" TargetMode="External" /><Relationship Type="http://schemas.openxmlformats.org/officeDocument/2006/relationships/hyperlink" Id="rId42" Target="http://news.fund123.cn/detail.aspx?id=303159" TargetMode="External" /><Relationship Type="http://schemas.openxmlformats.org/officeDocument/2006/relationships/hyperlink" Id="rId34" Target="http://stock.jrj.com.cn/2010/03/2605337179426.shtml" TargetMode="External" /><Relationship Type="http://schemas.openxmlformats.org/officeDocument/2006/relationships/hyperlink" Id="rId21" Target="http://www.charltonslaw.com.cn/china-news-alerts-cn-issue-331/" TargetMode="External" /><Relationship Type="http://schemas.openxmlformats.org/officeDocument/2006/relationships/hyperlink" Id="rId44" Target="http://www.ibtimes.com.cn/articles/20100326/zhongguo-lvsenengyuan_all.htm" TargetMode="External" /><Relationship Type="http://schemas.openxmlformats.org/officeDocument/2006/relationships/hyperlink" Id="rId4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7" Target="http://chinese.wsj.com/gb/20100324/BCH002129.asp" TargetMode="External" /><Relationship Type="http://schemas.openxmlformats.org/officeDocument/2006/relationships/hyperlink" Id="rId30" Target="http://edu.aweb.com.cn/2010/3/25/511820100325162450.html" TargetMode="External" /><Relationship Type="http://schemas.openxmlformats.org/officeDocument/2006/relationships/hyperlink" Id="rId28" Target="http://finance.ifeng.com/roll/20100324/1959809.shtml" TargetMode="External" /><Relationship Type="http://schemas.openxmlformats.org/officeDocument/2006/relationships/hyperlink" Id="rId32" Target="http://finance.qq.com/a/20100325/002844.htm" TargetMode="External" /><Relationship Type="http://schemas.openxmlformats.org/officeDocument/2006/relationships/hyperlink" Id="rId39" Target="http://forex.cnfol.com/100322/134,1506,7414993,00.shtml" TargetMode="External" /><Relationship Type="http://schemas.openxmlformats.org/officeDocument/2006/relationships/hyperlink" Id="rId42" Target="http://news.fund123.cn/detail.aspx?id=303159" TargetMode="External" /><Relationship Type="http://schemas.openxmlformats.org/officeDocument/2006/relationships/hyperlink" Id="rId34" Target="http://stock.jrj.com.cn/2010/03/2605337179426.shtml" TargetMode="External" /><Relationship Type="http://schemas.openxmlformats.org/officeDocument/2006/relationships/hyperlink" Id="rId21" Target="http://www.charltonslaw.com.cn/china-news-alerts-cn-issue-331/" TargetMode="External" /><Relationship Type="http://schemas.openxmlformats.org/officeDocument/2006/relationships/hyperlink" Id="rId44" Target="http://www.ibtimes.com.cn/articles/20100326/zhongguo-lvsenengyuan_all.htm" TargetMode="External" /><Relationship Type="http://schemas.openxmlformats.org/officeDocument/2006/relationships/hyperlink" Id="rId4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第331期 - 2010年03月29日</dc:title>
  <dc:creator/>
</cp:coreProperties>
</file>