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第335期</w:t>
      </w:r>
      <w:r>
        <w:t xml:space="preserve"> </w:t>
      </w:r>
      <w:r>
        <w:t xml:space="preserve">-</w:t>
      </w:r>
      <w:r>
        <w:t xml:space="preserve"> </w:t>
      </w:r>
      <w:r>
        <w:t xml:space="preserve">2010年04月26日</w:t>
      </w:r>
    </w:p>
    <w:p>
      <w:hyperlink r:id="rId21">
        <w:r>
          <w:rPr>
            <w:rStyle w:val="Link"/>
          </w:rPr>
          <w:t xml:space="preserve">网络版</w:t>
        </w:r>
      </w:hyperlink>
    </w:p>
    <w:p>
      <w:pPr>
        <w:pStyle w:val="Heading1"/>
      </w:pPr>
      <w:bookmarkStart w:id="22" w:name="法讯中国第335期"/>
      <w:bookmarkEnd w:id="22"/>
      <w:r>
        <w:t xml:space="preserve">法讯中国第335期</w:t>
      </w:r>
    </w:p>
    <w:p>
      <w:pPr>
        <w:pStyle w:val="Heading2"/>
      </w:pPr>
      <w:bookmarkStart w:id="23" w:name="资本市场-capital-markets"/>
      <w:bookmarkEnd w:id="23"/>
      <w:r>
        <w:t xml:space="preserve">资本市场 Capital Markets</w:t>
      </w:r>
    </w:p>
    <w:p>
      <w:pPr>
        <w:pStyle w:val="Heading3"/>
      </w:pPr>
      <w:bookmarkStart w:id="24" w:name="上海金融办国际板有望年内推-金融创新正酝酿"/>
      <w:bookmarkEnd w:id="24"/>
      <w:r>
        <w:t xml:space="preserve">上海金融办:国际板有望年内推 金融创新正酝酿</w:t>
      </w:r>
    </w:p>
    <w:p>
      <w:r>
        <w:t xml:space="preserve">上海市金融服务办公室副主任徐权14日表示,国际板“年内有望推出”。</w:t>
      </w:r>
    </w:p>
    <w:p>
      <w:r>
        <w:t xml:space="preserve">徐权是在浦东开发开放20周年上海市政府专题新闻发布会上作上述表述的。会上,上海浦东新区区长姜梁介绍,“十二五期间,浦东计划3年投入1000亿元,用于浦东南北道路对接、打通沿海大信道、迪士尼乐园兴建等项目建设。”</w:t>
      </w:r>
    </w:p>
    <w:p>
      <w:r>
        <w:t xml:space="preserve">在浦东开发开放20年里,浦东完成投资2700亿元。18日是上海浦东新区开发开放20周年纪念日。据介绍,一些金融创新会在这个特殊的时间推出。</w:t>
      </w:r>
    </w:p>
    <w:p>
      <w:pPr>
        <w:pStyle w:val="Heading4"/>
      </w:pPr>
      <w:bookmarkStart w:id="25" w:name="诸多金融创新正在酝酿"/>
      <w:bookmarkEnd w:id="25"/>
      <w:r>
        <w:t xml:space="preserve">诸多金融创新正在酝酿</w:t>
      </w:r>
    </w:p>
    <w:p>
      <w:r>
        <w:t xml:space="preserve">上海市金融服务办公室副主任徐权透露,上交所正在就国际板的推出进行制度设计,证监会也就该板块IPO制度草案进行讨论。制度一旦完善,国际板就会推出。徐权没有给出国际板推出的具体时间表,但他表示“年内有望推出”。</w:t>
      </w:r>
    </w:p>
    <w:p>
      <w:r>
        <w:t xml:space="preserve">“关于境外公司在境内发行人民币债券,如果境外企业有这个需求,那幺这条路是可行的。现在已有企业在上报申请。”徐权说。</w:t>
      </w:r>
    </w:p>
    <w:p>
      <w:r>
        <w:t xml:space="preserve">徐权还透露,上海市政府正准备发布关于如何促进合格境外投资者参与人民币股权投资基金的管理办法。他指出,管理办法还要在国家外汇局和相关部门的支持下制定实施细则,对结汇时间点、投资项目时效性都将作出具体规定。“外资应该是不超过50%。”</w:t>
      </w:r>
    </w:p>
    <w:p>
      <w:r>
        <w:t xml:space="preserve">徐权介绍,QFLP(Qualified Foreign Limited Partner,合格境外有限合伙人)参与人民币股权投资基金的试点方案,过段时间就会发布。</w:t>
      </w:r>
    </w:p>
    <w:p>
      <w:r>
        <w:t xml:space="preserve">徐权说,浦东新区是上海两个中心建设的核心功能区,要在上海金融中心建设中体现“集聚”和“率先”两个关键词。</w:t>
      </w:r>
    </w:p>
    <w:p>
      <w:r>
        <w:t xml:space="preserve">据了解,浦东陆家嘴金融贸易区是上海金融中心建设的主要载体。截至2009年底,集聚了556家金融机构(整个浦东新区603家)约占全市的70%。</w:t>
      </w:r>
    </w:p>
    <w:p>
      <w:pPr>
        <w:pStyle w:val="Heading4"/>
      </w:pPr>
      <w:bookmarkStart w:id="26" w:name="加大投资力度"/>
      <w:bookmarkEnd w:id="26"/>
      <w:r>
        <w:t xml:space="preserve">加大投资力度</w:t>
      </w:r>
    </w:p>
    <w:p>
      <w:r>
        <w:t xml:space="preserve">在推进金融创新的同时,浦东将加大基建力度。</w:t>
      </w:r>
    </w:p>
    <w:p>
      <w:r>
        <w:t xml:space="preserve">“迪士尼乐园项目涉及约4平方公里的土地动迁,其中1.16平方公里是园区,剩余的是配套设施用地。目前已经完成了97%的动迁,7月份我们就要交地。” 上海浦东新区区长姜梁介绍。</w:t>
      </w:r>
    </w:p>
    <w:p>
      <w:r>
        <w:t xml:space="preserve">姜梁说,“十二五”期间,浦东将进一步加快城市化进程来适应产业快速发展、人口大量集聚的需要。同时,将加快重大基础设施建设,计划3年投入1000亿,重点加强南汇并入浦东新区后的南北道路对接,尽快打通沿海大信道。</w:t>
      </w:r>
    </w:p>
    <w:p>
      <w:r>
        <w:t xml:space="preserve">在陆家嘴金融贸易区,“十二五”期间将推动上海中心、上海船厂地块、世纪大道两侧等约300万平方米的商务楼宇建设。</w:t>
      </w:r>
    </w:p>
    <w:p>
      <w:r>
        <w:t xml:space="preserve">后世博板块也是一大亮点。姜梁介绍,世博园区浦东部分规划面积3.93平方公里,附近还有后滩1平方公里和原环球地块的3平方公里。这一区域已经完成了前期基础建设,并且有5条轨道交通经过。世博后这一板块将主要发展金融、会展、商务、文化等现代服务业。</w:t>
      </w:r>
    </w:p>
    <w:p>
      <w:hyperlink r:id="rId27">
        <w:r>
          <w:rPr>
            <w:rStyle w:val="Link"/>
          </w:rPr>
          <w:t xml:space="preserve">来源：雅虎</w:t>
        </w:r>
      </w:hyperlink>
    </w:p>
    <w:p>
      <w:pPr>
        <w:pStyle w:val="Heading2"/>
      </w:pPr>
      <w:bookmarkStart w:id="28" w:name="房地产-real-estate"/>
      <w:bookmarkEnd w:id="28"/>
      <w:r>
        <w:t xml:space="preserve">房地产 Real Estate</w:t>
      </w:r>
    </w:p>
    <w:p>
      <w:pPr>
        <w:pStyle w:val="Heading3"/>
      </w:pPr>
      <w:bookmarkStart w:id="29" w:name="报导中国修改第二套房认定标准"/>
      <w:bookmarkEnd w:id="29"/>
      <w:r>
        <w:t xml:space="preserve">报导：中国修改第二套房认定标准</w:t>
      </w:r>
    </w:p>
    <w:p>
      <w:r>
        <w:t xml:space="preserve">《上海证券报》周四援引中国银行业监督管理委员会(China Banking Regulatory Commission, 简称：银监会)官员的话报导，作为房地产市场紧缩措施之一，中国修改第二套房认定标准，由以个人拥有为依据改为以家庭拥有为依据。</w:t>
      </w:r>
    </w:p>
    <w:p>
      <w:r>
        <w:t xml:space="preserve">报导称，家庭包括个人、配偶和未成年子女在内。</w:t>
      </w:r>
    </w:p>
    <w:p>
      <w:r>
        <w:t xml:space="preserve">银监会银行监管一部主任杨家才表示，房贷是否已经偿还并不影响第二套房的定义。此前，银行根据购房者是否已经偿还第一套房的房贷来判断一处房产是否为第二套房。</w:t>
      </w:r>
    </w:p>
    <w:p>
      <w:r>
        <w:t xml:space="preserve">中国国务院上周六发布通知，进一步收紧投机性投资，包括允许银行停止对已经拥有两套或两套以上住房者发放贷款，进而抑制部分城市房地产价格的过快上涨。</w:t>
      </w:r>
    </w:p>
    <w:p>
      <w:r>
        <w:t xml:space="preserve">政府最近已经将第二套房最低首付比例从40%提高至50%，并要求贷款利率不低于基准利率的1.1倍。</w:t>
      </w:r>
    </w:p>
    <w:p>
      <w:hyperlink r:id="rId30">
        <w:r>
          <w:rPr>
            <w:rStyle w:val="Link"/>
          </w:rPr>
          <w:t xml:space="preserve">来源：华尔街日报</w:t>
        </w:r>
      </w:hyperlink>
    </w:p>
    <w:p>
      <w:pPr>
        <w:pStyle w:val="Heading3"/>
      </w:pPr>
      <w:bookmarkStart w:id="31" w:name="第三套房或将纳入房产税征税范围"/>
      <w:bookmarkEnd w:id="31"/>
      <w:r>
        <w:t xml:space="preserve">第三套房或将纳入房产税征税范围</w:t>
      </w:r>
    </w:p>
    <w:p>
      <w:r>
        <w:t xml:space="preserve">对于房地产市场的调控，财税部门或在未来将把政策重点放在调整房产税上，具体做法是将第三套房及三套以上住房定性为经营性住房，以纳入房产税征税范围。</w:t>
      </w:r>
    </w:p>
    <w:p>
      <w:r>
        <w:t xml:space="preserve">4月22日，据《上海证券报》引述接近财税部门人士透露，对于房地产市场，财税部门的税收政策重点就在于房产税政策的调整，目前的思路是对个人拥有的房屋进行区别对待。</w:t>
      </w:r>
    </w:p>
    <w:p>
      <w:r>
        <w:t xml:space="preserve">首付比例和贷款利率大幅提高这一严厉房地产信贷政策出台之后，社会各界对中央政府获将通过税收手段对房地产市场进行进一步调控的猜测颇多。而日前出台的楼市调控“新国十条”指出，财政部、国家税务总局要加快研究制定引导个人合理住房消费和调节个人房产收益的税收政策。</w:t>
      </w:r>
    </w:p>
    <w:p>
      <w:r>
        <w:t xml:space="preserve">该报引述一位接近国家税务总局的专家表示，目前土地出让金是否纳入物业税等众多难题没有解决之前，物业税短期内还难以出台，因此要将重点放在现有的税种上。</w:t>
      </w:r>
    </w:p>
    <w:p>
      <w:r>
        <w:t xml:space="preserve">房产税是现有房地产税种中最有可能被使用的调控工具。按照现行的房产税暂行条例，个人所有的非营业房产可以免缴房产税，但条例并没有明确规定营业房产的范围，不少个人房屋虽然用于经营，也并没有按期缴纳房产税。</w:t>
      </w:r>
    </w:p>
    <w:p>
      <w:r>
        <w:t xml:space="preserve">据1986年出台的房产税暂行条例，房产税依照房产原值一次减除10%至30%后的余值计算缴纳，税率为1.2%，没有房产原值作依据的，由房产所在地税务机关参考同类房产核定；房产出租的，以房产租金收入为房产税的计税依据，税率为12%。</w:t>
      </w:r>
    </w:p>
    <w:p>
      <w:hyperlink r:id="rId32">
        <w:r>
          <w:rPr>
            <w:rStyle w:val="Link"/>
          </w:rPr>
          <w:t xml:space="preserve">来源：财经网</w:t>
        </w:r>
      </w:hyperlink>
    </w:p>
    <w:p>
      <w:pPr>
        <w:pStyle w:val="Heading3"/>
      </w:pPr>
      <w:bookmarkStart w:id="33" w:name="国务院加码遏制高房价三套房可停贷"/>
      <w:bookmarkEnd w:id="33"/>
      <w:r>
        <w:t xml:space="preserve">国务院加码遏制高房价：三套房可停贷</w:t>
      </w:r>
    </w:p>
    <w:p>
      <w:r>
        <w:t xml:space="preserve">国家遏制高房价的政策措施持续加码。</w:t>
      </w:r>
    </w:p>
    <w:p>
      <w:r>
        <w:t xml:space="preserve">根据中国政府网消息，国务院17日发出通知，要求进一步落实各地区、各有关部门的责任，坚决遏制部分城市房价过快上涨，切实解决城镇居民住房问题。</w:t>
      </w:r>
    </w:p>
    <w:p>
      <w:r>
        <w:t xml:space="preserve">这是继14日国务院常务会议定调采取更有力政策措施遏制高房价、15日公布提高第二套房贷首付、利率等部分政策后，推出的更为严厉的措施。</w:t>
      </w:r>
    </w:p>
    <w:p>
      <w:r>
        <w:t xml:space="preserve">通知要求，坚决抑制不合理住房需求。实行更为严格的差别化住房信贷政策。要严格限制各种名目的炒房和投机性购房。商品住房价格过高、价格上涨过快、供应紧张的地区，商业银行可根据风险状况，暂停发放购买第三套及以上住房贷款；对不能提供１年以上当地纳税证明或社会保险缴纳证明的非本地居民暂停发放购买住房贷款。地方人民政府可根据实际情况，采取临时性措施，在一定时期内限定购房套数。</w:t>
      </w:r>
    </w:p>
    <w:p>
      <w:r>
        <w:t xml:space="preserve">通知明确，要发挥税收政策对住房消费和房地产收益的调节作用。财政部、税务总局要加快研究制定引导个人合理住房消费和调节个人房产收益的税收政策。税务部门要严格按照税法和有关政策规定，认真做好土地增值税的征收管理工作，对定价过高、价格涨幅过快的房地产开发项目进行重点清算和稽查。</w:t>
      </w:r>
    </w:p>
    <w:p>
      <w:r>
        <w:t xml:space="preserve">通知要求各地，增加住房有效供给，加快保障性安居工程建设。</w:t>
      </w:r>
    </w:p>
    <w:p>
      <w:r>
        <w:t xml:space="preserve">通知要求，房地产开发企业在参与土地竞拍和开发建设过程中，其股东不得违规对其提供借款、转贷、担保或其它相关融资便利。严禁非房地产主业的国有及国有控股企业参与商业性土地开发和房地产经营业务。对存在土地闲置及炒地行为的房地产开发企业，商业银行不得发放新开发项目贷款，证监部门暂停批准其上市、再融资和重大资产重组</w:t>
      </w:r>
    </w:p>
    <w:p>
      <w:hyperlink r:id="rId34">
        <w:r>
          <w:rPr>
            <w:rStyle w:val="Link"/>
          </w:rPr>
          <w:t xml:space="preserve">来源：上海证券报</w:t>
        </w:r>
      </w:hyperlink>
    </w:p>
    <w:p>
      <w:pPr>
        <w:pStyle w:val="Heading3"/>
      </w:pPr>
      <w:bookmarkStart w:id="35" w:name="未领预售证不得收定金"/>
      <w:bookmarkEnd w:id="35"/>
      <w:r>
        <w:t xml:space="preserve">未领预售证不得收定金</w:t>
      </w:r>
    </w:p>
    <w:p>
      <w:r>
        <w:t xml:space="preserve">住房城乡建设部近日发出通知，明确要求房地产开发企业应将取得预售许可的商品住房项目在10日内一次性公开全部准售房源及每套房屋价格，并严格按照预售方案申报价格，明码标价对外销售。对此，不少业内专家认为，该政策或将严厉打击开发商在销售房屋的过程中采取的不规范行为，更不排除部分资金实力不足的开发商将面临新一轮的洗牌。</w:t>
      </w:r>
    </w:p>
    <w:p>
      <w:pPr>
        <w:pStyle w:val="Heading4"/>
      </w:pPr>
      <w:bookmarkStart w:id="36" w:name="房企难再空手套白狼"/>
      <w:bookmarkEnd w:id="36"/>
      <w:r>
        <w:t xml:space="preserve">房企难再“空手套白狼”</w:t>
      </w:r>
    </w:p>
    <w:p>
      <w:r>
        <w:t xml:space="preserve">住建部《关于进一步加强房地产市场监管完善商品住房预售制度有关问题的通知》要求，今后未取得预售许可的商品住房项目，房地产开发企业不得以认购、预订、排号、发放 VIP 卡等方式向买受人收取或变相收取定金、预定款等性质的费用。业内专家认为，如果该政策能够顺利执行，开发商“空手套白狼”的行为将有望得到遏制。</w:t>
      </w:r>
    </w:p>
    <w:p>
      <w:r>
        <w:t xml:space="preserve">资深房产专家赵卓文透露，资金相对不足的开发商往往采取“空手套白狼”的方式，在刚拿到图纸或刚奠基时就开始收取意向购房者的诚意金及定金，目的是想筹更多的“建设款”。赵卓文向记者算了一笔账，“如果一个项目规划有2000套房，开发商按照每套房收取5万元的诚意金来计算，若有1000个诚意购房者，开发商在正式开售前收取的费用就高达5000万元。”</w:t>
      </w:r>
    </w:p>
    <w:p>
      <w:pPr>
        <w:pStyle w:val="Heading4"/>
      </w:pPr>
      <w:bookmarkStart w:id="37" w:name="可遏制囤房抬价行为"/>
      <w:bookmarkEnd w:id="37"/>
      <w:r>
        <w:t xml:space="preserve">可遏制囤房抬价行为</w:t>
      </w:r>
    </w:p>
    <w:p>
      <w:r>
        <w:t xml:space="preserve">同时，赵卓文认为，开发商取得预售许可证的商品房项目在10日内一次性公开全部房源及价格，也将有效遏制开发商的“边卖边涨价”的行为。据了解，由于开发商在推盘当天，并未完全对外公开具体的房源位置及价格，因此，很多购房者在开发商开盘一个星期后再去买房时，销售价格比原来要高出许多。“《通知》执行后，开发商的销售房源及价格都变得明朗化，有效遏止开发商囤房及哄抬价格的行为。”赵卓文表示。</w:t>
      </w:r>
    </w:p>
    <w:p>
      <w:hyperlink r:id="rId38">
        <w:r>
          <w:rPr>
            <w:rStyle w:val="Link"/>
          </w:rPr>
          <w:t xml:space="preserve">来源：网易</w:t>
        </w:r>
      </w:hyperlink>
    </w:p>
    <w:p>
      <w:pPr>
        <w:pStyle w:val="Heading2"/>
      </w:pPr>
      <w:bookmarkStart w:id="39" w:name="公司corporate"/>
      <w:bookmarkEnd w:id="39"/>
      <w:r>
        <w:t xml:space="preserve">公司Corporate</w:t>
      </w:r>
    </w:p>
    <w:p>
      <w:pPr>
        <w:pStyle w:val="Heading3"/>
      </w:pPr>
      <w:bookmarkStart w:id="40" w:name="中国二三线城市成为跨国公司新宠"/>
      <w:bookmarkEnd w:id="40"/>
      <w:r>
        <w:t xml:space="preserve">中国二、三线城市成为跨国公司“新宠”</w:t>
      </w:r>
    </w:p>
    <w:p>
      <w:r>
        <w:t xml:space="preserve">世界５００强企业联合利华近年来先后关闭了其在中国一线城市上海的多间工厂，以及在广东省的茶叶工厂、台湾的洗衣粉厂、日本的洗发液厂等，陆续迁往安徽省合肥市的经济技术开发区建设联合利华工业园。</w:t>
      </w:r>
    </w:p>
    <w:p>
      <w:r>
        <w:t xml:space="preserve">联合利华大中华区副总裁曾锡文说，目前，合肥生产基地已成为联合利华全球四大生产基地之一，２０１０年这个生产基地的产值、税收估计将分别超过１００亿元人民币、１０亿元人民币，产品覆盖到整个亚太地区。</w:t>
      </w:r>
    </w:p>
    <w:p>
      <w:r>
        <w:t xml:space="preserve">金融危机后的２０１０年，投资中国的外企可能会面对一些挑战，但更多的是不断涌现的新机会。对外资企业的调查和访问显示，大批跨国公司对在华投资态度乐观，中国二、三线城市更成为外商“新宠”。</w:t>
      </w:r>
    </w:p>
    <w:p>
      <w:r>
        <w:t xml:space="preserve">据了解，联合利华在全球多个国家设有工厂，总部根据每个工厂的利润率来决定是否将其关闭。就中国子公司来说，主要竞争对手是印尼、日本、澳大利亚、越南的工厂。</w:t>
      </w:r>
    </w:p>
    <w:p>
      <w:r>
        <w:t xml:space="preserve">曾锡文介绍说，联合利华在上海生产时，其成本在全球工厂中处于中等偏上水平，与主要竞争对手相比没有优势。而生产基地迁入二线城市合肥后，集中整合了多家分散的工厂，实现了规模化高效率生产，再加上土地成本、人力成本较低，而电力等能源供应更为充足、区位上又紧邻长三角，联合利华合肥工业园的成本一下子降到了全球工厂的最低水平。</w:t>
      </w:r>
    </w:p>
    <w:p>
      <w:r>
        <w:t xml:space="preserve">而在２００９年，共有美国沃尔玛、德国大陆轮胎、法国液化空气集团等５家境外世界５００强企业在合肥市注册了６家外商投资企业。</w:t>
      </w:r>
    </w:p>
    <w:p>
      <w:r>
        <w:t xml:space="preserve">“一年中有如此多的境外世界５００强企业来合肥投资兴业，在合肥利用外资历史上前所未有。截至２００９年底，来合肥投资的境外世界５００强企业已达２５家。”合肥市商务局局长蓝天说。</w:t>
      </w:r>
    </w:p>
    <w:p>
      <w:r>
        <w:t xml:space="preserve">跨国公司对中国二、三线城市的高度关注绝不仅限于合肥市。中国美国商会近日在北京发布了年度商务环境调查。调查结果显示，在华美企对中国经济发展以及在华投资持乐观态度。近８０％的美国在华企业计划在２０１０年增加对中国市场的投资，大部分在华美企已经把目光锁定中国二、三线城市，它们认为这些城市具有很大的拓展空间。</w:t>
      </w:r>
    </w:p>
    <w:p>
      <w:r>
        <w:t xml:space="preserve">据该商会调查，有２８％的美企计划在今年完成在华拓展两个或两个以上城市的目标。中国美国商会会长孟克文表示，不少美企在天津、武汉、大连开设分支机构，不再只盯着北京、上海、广州等一线城市。</w:t>
      </w:r>
    </w:p>
    <w:p>
      <w:r>
        <w:t xml:space="preserve">全球最大的汽车变速器制造商之一德国格特拉克２００６年与江西省的江铃汽车成立合资公司：格特拉克（江西）传动系统有限公司，总部位于南昌，下属南昌工厂、赣州分公司、于都分公司。</w:t>
      </w:r>
    </w:p>
    <w:p>
      <w:r>
        <w:t xml:space="preserve">格特拉克（江西）传动系统有限公司副总裁吴凯介绍说，２００９年公司变速器产能已达到５０万台，比２００７年增加了一倍。未来几年内，公司将追加２０亿元人民币投资，使２０１３年变速器产能达到１００万台。</w:t>
      </w:r>
    </w:p>
    <w:p>
      <w:r>
        <w:t xml:space="preserve">吴凯说，格特拉克在中国的投资重点放在内陆省份江西，看中的是江西良好的投资环境，地方政府在项目审批、公共服务及银行信贷等方面给予企业的大力支持。</w:t>
      </w:r>
    </w:p>
    <w:p>
      <w:r>
        <w:t xml:space="preserve">不过，中国区域经济学会副会长程必定也指出，面对兴趣浓厚的跨国公司，内陆一些省份的城市面临产业布局缺乏系统规划、各市之间缺乏协调联动机制、现代物流业相对薄弱、经济外向度较低等问题。</w:t>
      </w:r>
    </w:p>
    <w:p>
      <w:r>
        <w:t xml:space="preserve">考察、对比过诸多一线及二、三线城市的曾锡文指出，中西部二、三线城市发展空间大，有明显的后发优势，但二、三线城市的地方政府在引资过程中不应过多看重项目的投资总额，而要综合考虑整个城市的行业平衡、项目的产出密度和税收密度。</w:t>
      </w:r>
    </w:p>
    <w:p>
      <w:hyperlink r:id="rId41">
        <w:r>
          <w:rPr>
            <w:rStyle w:val="Link"/>
          </w:rPr>
          <w:t xml:space="preserve">来源：中国基金网</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2">
        <w:r>
          <w:rPr>
            <w:rStyle w:val="Link"/>
          </w:rPr>
          <w:t xml:space="preserve">unsubscribe@charltonslaw.com</w:t>
        </w:r>
      </w:hyperlink>
    </w:p>
    <w:p>
      <w:r>
        <w:rPr>
          <w:b/>
        </w:rPr>
        <w:t xml:space="preserve">易周律师行 - 法讯 - 中国 - 第335期 - 2010年04月26日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fcaf63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biz.cn.yahoo.com/10-04-/42/woeo.html" TargetMode="External" /><Relationship Type="http://schemas.openxmlformats.org/officeDocument/2006/relationships/hyperlink" Id="rId30" Target="http://chinese.wsj.com/gb/20100422/bch104252.asp" TargetMode="External" /><Relationship Type="http://schemas.openxmlformats.org/officeDocument/2006/relationships/hyperlink" Id="rId38" Target="http://money.163.com/10/0421/04/64P37QVC00252G50.html" TargetMode="External" /><Relationship Type="http://schemas.openxmlformats.org/officeDocument/2006/relationships/hyperlink" Id="rId32" Target="http://www.caijing.com.cn/2010-04-23/110422686.html" TargetMode="External" /><Relationship Type="http://schemas.openxmlformats.org/officeDocument/2006/relationships/hyperlink" Id="rId21" Target="http://www.charltonslaw.com.cn/china-news-alerts-cn-issue-335/" TargetMode="External" /><Relationship Type="http://schemas.openxmlformats.org/officeDocument/2006/relationships/hyperlink" Id="rId41" Target="http://www.cnfund.cn/news/news/2010/04/13/1420100413160726.html" TargetMode="External" /><Relationship Type="http://schemas.openxmlformats.org/officeDocument/2006/relationships/hyperlink" Id="rId34" Target="http://www.cnstock.com/paper_new/html/2010-04/19/content_12944.htm#" TargetMode="External" /><Relationship Type="http://schemas.openxmlformats.org/officeDocument/2006/relationships/hyperlink" Id="rId4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7" Target="http://biz.cn.yahoo.com/10-04-/42/woeo.html" TargetMode="External" /><Relationship Type="http://schemas.openxmlformats.org/officeDocument/2006/relationships/hyperlink" Id="rId30" Target="http://chinese.wsj.com/gb/20100422/bch104252.asp" TargetMode="External" /><Relationship Type="http://schemas.openxmlformats.org/officeDocument/2006/relationships/hyperlink" Id="rId38" Target="http://money.163.com/10/0421/04/64P37QVC00252G50.html" TargetMode="External" /><Relationship Type="http://schemas.openxmlformats.org/officeDocument/2006/relationships/hyperlink" Id="rId32" Target="http://www.caijing.com.cn/2010-04-23/110422686.html" TargetMode="External" /><Relationship Type="http://schemas.openxmlformats.org/officeDocument/2006/relationships/hyperlink" Id="rId21" Target="http://www.charltonslaw.com.cn/china-news-alerts-cn-issue-335/" TargetMode="External" /><Relationship Type="http://schemas.openxmlformats.org/officeDocument/2006/relationships/hyperlink" Id="rId41" Target="http://www.cnfund.cn/news/news/2010/04/13/1420100413160726.html" TargetMode="External" /><Relationship Type="http://schemas.openxmlformats.org/officeDocument/2006/relationships/hyperlink" Id="rId34" Target="http://www.cnstock.com/paper_new/html/2010-04/19/content_12944.htm#" TargetMode="External" /><Relationship Type="http://schemas.openxmlformats.org/officeDocument/2006/relationships/hyperlink" Id="rId4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第335期 - 2010年04月26日</dc:title>
  <dc:creator/>
</cp:coreProperties>
</file>