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第336期</w:t>
      </w:r>
      <w:r>
        <w:t xml:space="preserve"> </w:t>
      </w:r>
      <w:r>
        <w:t xml:space="preserve">-</w:t>
      </w:r>
      <w:r>
        <w:t xml:space="preserve"> </w:t>
      </w:r>
      <w:r>
        <w:t xml:space="preserve">2010年05月03日</w:t>
      </w:r>
    </w:p>
    <w:p>
      <w:hyperlink r:id="rId21">
        <w:r>
          <w:rPr>
            <w:rStyle w:val="Link"/>
          </w:rPr>
          <w:t xml:space="preserve">网络版</w:t>
        </w:r>
      </w:hyperlink>
    </w:p>
    <w:p>
      <w:pPr>
        <w:pStyle w:val="Heading1"/>
      </w:pPr>
      <w:bookmarkStart w:id="22" w:name="法讯中国第336期"/>
      <w:bookmarkEnd w:id="22"/>
      <w:r>
        <w:t xml:space="preserve">法讯中国第336期</w:t>
      </w:r>
    </w:p>
    <w:p>
      <w:pPr>
        <w:pStyle w:val="Heading2"/>
      </w:pPr>
      <w:bookmarkStart w:id="23" w:name="资本市场-capital-markets"/>
      <w:bookmarkEnd w:id="23"/>
      <w:r>
        <w:t xml:space="preserve">资本市场 CAPITAL MARKETS</w:t>
      </w:r>
    </w:p>
    <w:p>
      <w:pPr>
        <w:pStyle w:val="Heading3"/>
      </w:pPr>
      <w:bookmarkStart w:id="24" w:name="证监会联合国土部加强对房地产企业融资监管"/>
      <w:bookmarkEnd w:id="24"/>
      <w:r>
        <w:t xml:space="preserve">证监会联合国土部加强对房地产企业融资监管</w:t>
      </w:r>
    </w:p>
    <w:p>
      <w:r>
        <w:t xml:space="preserve">证监会有关部门负责人23日说，证监会将采取措施，联合国土资源部，加强对房地产企业融资的监管。</w:t>
      </w:r>
    </w:p>
    <w:p>
      <w:r>
        <w:t xml:space="preserve">证监会有关部门负责人指出，对于房地产企业的融资申请，证监会要求保荐机构和律师就企业执行《国务院关于促进节约集约用地的通知》出具核查意见，在审核中，重点关注募集资金投资项目的用地已经“四证”齐全（土地使用权证、建设用地规划许可证、建设工程规划许可证、建设工程施工许可证），募集资金仅限于项目开发。</w:t>
      </w:r>
    </w:p>
    <w:p>
      <w:r>
        <w:t xml:space="preserve">2009年上半年，针对房地产企业融资需求进一步急剧增长的情况，证监会于当年９月确定了与国土资源部的沟通联络机制。</w:t>
      </w:r>
    </w:p>
    <w:p>
      <w:r>
        <w:t xml:space="preserve">目前拟定两类企业融资申请纳入征求国土部意见范围：一是募集资金拟投向房地产项目的股权类融资企业；二是募集资金虽不投向房地产项目，但包含单纯用于补充流动资金或归还银行贷款的内容，且原有业务包括房地产经营的股权类融资企业。</w:t>
      </w:r>
    </w:p>
    <w:p>
      <w:r>
        <w:t xml:space="preserve">债权融资由于具有相对较高的融资成本，具备一定的市场约束机制，发行公司债的房地产企业暂不纳入范围。</w:t>
      </w:r>
    </w:p>
    <w:p>
      <w:r>
        <w:t xml:space="preserve">据了解，国土部对送审企业购地用地的合规性予以审核，涉及事项主要是针对企业是否存在如违法取得土地、土地闲置、拖欠地价款、违规调整土地用途或规划条件等方面的问题，并据此出具是否支持融资的意见。</w:t>
      </w:r>
    </w:p>
    <w:p>
      <w:r>
        <w:t xml:space="preserve">证监会有关部门负责人介绍，在前期两部门沟通协商的基础上，已将两批计41家房地产企业融资申请送国土部征求意见。目前，国土部已完成首批试点运行的25家企业的初审工作。</w:t>
      </w:r>
    </w:p>
    <w:p>
      <w:r>
        <w:t xml:space="preserve">这位负责人介绍，今后，证监会与国土部将就当前房地产企业融资的监管要求联合发布指导意见。同时，证监会将与国家有关监管部门一起，进一步完善信息共享机制，借助信息平台和工作机制，促进双方常态监管。</w:t>
      </w:r>
    </w:p>
    <w:p>
      <w:r>
        <w:t xml:space="preserve">证监会公布的数据显示，目前，境内上市的房地产公司有79家，占全国8万余家房地产公司的千分之一不到。2009年房地产开发企业资金来源57128亿元，境内房地产上市公司通过资本市场融资442亿元，占房地产企业资金来源的0.77％。</w:t>
      </w:r>
    </w:p>
    <w:p>
      <w:hyperlink r:id="rId25">
        <w:r>
          <w:rPr>
            <w:rStyle w:val="Link"/>
          </w:rPr>
          <w:t xml:space="preserve">来源：人民网</w:t>
        </w:r>
      </w:hyperlink>
    </w:p>
    <w:p>
      <w:pPr>
        <w:pStyle w:val="Heading3"/>
      </w:pPr>
      <w:bookmarkStart w:id="26" w:name="证监会否认暂停房地产企业股权融资"/>
      <w:bookmarkEnd w:id="26"/>
      <w:r>
        <w:t xml:space="preserve">证监会否认暂停房地产企业股权融资</w:t>
      </w:r>
    </w:p>
    <w:p>
      <w:r>
        <w:t xml:space="preserve">针对有媒体“ 证监会暂停房地产企业股权融资”的报道，证监会有关部门负责人28日告诉中国证券报记者，证监会没有暂停房地产企业股权融资，正与国土资源部建立更为完善的联合审核机制。目前，对于房地产企业股权融资申请的受理正常进行。</w:t>
      </w:r>
    </w:p>
    <w:p>
      <w:r>
        <w:t xml:space="preserve">据悉，证监会与国土资源部已初步建立起有关房地产企业融资的综合监管原则和工作机制，国土部负责审核证监会送审企业购地用地的合规性。目前，国土部已完成首批试点运行25家企业的初审工作，拟于近期将正式审核意见反馈证监会。届时，证监会将对这些企业展开后续发行审核工作。</w:t>
      </w:r>
    </w:p>
    <w:p>
      <w:r>
        <w:t xml:space="preserve">证监会此前介绍说，目前拟定两类企业纳入征求国土部意见范围：一是募集资金拟投向房地产项目的股权类融资企业；二是募集资金虽不投向房地产项目，但包含单纯用于补充流动资金或归还银行贷款的内容，且原有业务包括房地产经营的股权类融资企业，因为此类企业有可能将募集资金间接用于房地产项目。债券融资具有相对较高的融资成本，具备一定的市场约束机制，发行公司债的房地产企业暂不纳入范围。</w:t>
      </w:r>
    </w:p>
    <w:p>
      <w:hyperlink r:id="rId27">
        <w:r>
          <w:rPr>
            <w:rStyle w:val="Link"/>
          </w:rPr>
          <w:t xml:space="preserve">来源：人民网</w:t>
        </w:r>
      </w:hyperlink>
    </w:p>
    <w:p>
      <w:pPr>
        <w:pStyle w:val="Heading3"/>
      </w:pPr>
      <w:bookmarkStart w:id="28" w:name="证监会规范券商基金参与股指期货"/>
      <w:bookmarkEnd w:id="28"/>
      <w:r>
        <w:t xml:space="preserve">证监会：规范券商、基金参与股指期货</w:t>
      </w:r>
    </w:p>
    <w:p>
      <w:r>
        <w:t xml:space="preserve">中国证监会23日发布了《证券公司参与股指期货交易指引》和《证券投资基金参与股指期货交易指引》，旨在稳妥有序引导券商和基金参与股指期货交易。</w:t>
      </w:r>
    </w:p>
    <w:p>
      <w:r>
        <w:t xml:space="preserve">证监会有关部门负责人指出，《指引》对证券公司证券自营业务、证券资产管理业务参与股指期货交易的有关问题作出了明确规定，有利于引导证券公司在股指期货推出初期，结合自身风险管理能力，稳妥有序参与股指期货交易。</w:t>
      </w:r>
    </w:p>
    <w:p>
      <w:r>
        <w:t xml:space="preserve">根据《指引》，证券公司证券自营业务参与股指期货限于套期保值目的；资产管理业务可根据不同业务类型，在审慎评估客户风险承受能力的情况下，按照客户的不同需求，参与不同目的的股指期货交易。</w:t>
      </w:r>
    </w:p>
    <w:p>
      <w:r>
        <w:t xml:space="preserve">在股指期货推出初期，《指引》进一步对证券公司参与股指期货交易的规模进行了适当的限制，要求证券公司自营权益类证券及证券衍生品（包括股指期货）的合计额不超过净资本的100％。</w:t>
      </w:r>
    </w:p>
    <w:p>
      <w:r>
        <w:t xml:space="preserve">基金公司的《指引》则对基金投资股指期货的投资策略、参与程序、比例限制、信息披露、风险管理、内控制度等提出了具体要求，规定在投资策略上，严格限制投机，以套期保值为主。</w:t>
      </w:r>
    </w:p>
    <w:p>
      <w:r>
        <w:t xml:space="preserve">《指引》规定基金持有的买入股指期货合约价值不得超过基金资产净值的10％，基金持有的卖出期货合约价值不得超过基金持有的股票总市值的20％。</w:t>
      </w:r>
    </w:p>
    <w:p>
      <w:r>
        <w:t xml:space="preserve">《指引》要求基金建立股指期货交易决策部门或小组，并授权特定的管理人员负责股指期货的投资审批事项。</w:t>
      </w:r>
    </w:p>
    <w:p>
      <w:r>
        <w:t xml:space="preserve">证监会有关部门负责人指出，《指引》发布实施后，将强化监管，通过现场检查和非现场检查等多种手段完善监管，以切实保护投资者的合法权益。</w:t>
      </w:r>
    </w:p>
    <w:p>
      <w:hyperlink r:id="rId29">
        <w:r>
          <w:rPr>
            <w:rStyle w:val="Link"/>
          </w:rPr>
          <w:t xml:space="preserve">来源：人民网</w:t>
        </w:r>
      </w:hyperlink>
    </w:p>
    <w:p>
      <w:pPr>
        <w:pStyle w:val="Heading2"/>
      </w:pPr>
      <w:bookmarkStart w:id="30" w:name="公司corporate"/>
      <w:bookmarkEnd w:id="30"/>
      <w:r>
        <w:t xml:space="preserve">公司CORPORATE</w:t>
      </w:r>
    </w:p>
    <w:p>
      <w:pPr>
        <w:pStyle w:val="Heading3"/>
      </w:pPr>
      <w:bookmarkStart w:id="31" w:name="企业内部控制配套指引发布将在上市公司施行"/>
      <w:bookmarkEnd w:id="31"/>
      <w:r>
        <w:t xml:space="preserve">《企业内部控制配套指引》发布将在上市公司施行</w:t>
      </w:r>
    </w:p>
    <w:p>
      <w:r>
        <w:t xml:space="preserve">新华网北京4月26日电（记者罗沙　韩洁）财政部、证监会、审计署、银监会、保监会26日联合发布了《企业内部控制配套指引》，连同此前发布的《企业内部控制基本规范》，标志着适应我国企业实际情况、融合国际先进经验的中国企业内部控制规范体系基本建成。</w:t>
      </w:r>
    </w:p>
    <w:p>
      <w:r>
        <w:t xml:space="preserve">财政部副部长王军表示，《企业内部控制配套指引》的发布，标志着以防范风险和控制舞弊为中心、以控制标准和评价标准为主体，结构合理、层次分明、衔接有序、方法科学、体系完备的企业内部控制规范体系基本建成，是继我国企业会计准则、审计准则体系建成并有效实施之后的又一项重大系统工程。</w:t>
      </w:r>
    </w:p>
    <w:p>
      <w:r>
        <w:t xml:space="preserve">根据五部门制定的实施时间表，《企业内部控制配套指引》将自2011年1月1日起首先在境内外同时上市的公司施行，自2012年1月1日起扩大到在上海证券交易所、深圳证券交易所主板上市的公司施行；在此基础上，择机在中小板和创业板上市公司施行；同时，鼓励非上市大型企业提前执行。</w:t>
      </w:r>
    </w:p>
    <w:p>
      <w:r>
        <w:t xml:space="preserve">财政部表示，执行企业内控规范体系的企业，必须对本企业内部控制的有效性进行自我评价，披露年度自我评价报告，同时聘请具有证券期货业务资格的会计师事务所对其财务报告内部控制的有效性进行审计，出具审计报告。注册会计师发现在内部控制审计过程中注意到的企业非财务报告内部控制重大缺陷，应当提示投资者、债权人和其它利益相关者关注。</w:t>
      </w:r>
    </w:p>
    <w:p>
      <w:r>
        <w:t xml:space="preserve">王军指出，财政部将会同国务院有关部门扎实抓好企业内部控制规范体系的贯彻实施工作。着力开展各种行之有效的内控宣传，着力实施全方位、全覆盖的内控规范培训，着力做好企业内控规范体系实施前的各项准备工作，着力推进企业内部控制规范国际交流与合作。</w:t>
      </w:r>
    </w:p>
    <w:p>
      <w:hyperlink r:id="rId32">
        <w:r>
          <w:rPr>
            <w:rStyle w:val="Link"/>
          </w:rPr>
          <w:t xml:space="preserve">来源：人民网</w:t>
        </w:r>
      </w:hyperlink>
    </w:p>
    <w:p>
      <w:pPr>
        <w:pStyle w:val="Heading2"/>
      </w:pPr>
      <w:bookmarkStart w:id="33" w:name="其他-other"/>
      <w:bookmarkEnd w:id="33"/>
      <w:r>
        <w:t xml:space="preserve">其他 Other</w:t>
      </w:r>
    </w:p>
    <w:p>
      <w:pPr>
        <w:pStyle w:val="Heading3"/>
      </w:pPr>
      <w:bookmarkStart w:id="34" w:name="醉驾飙车-没出事也可能判刑"/>
      <w:bookmarkEnd w:id="34"/>
      <w:r>
        <w:t xml:space="preserve">醉驾飙车 没出事也可能判刑</w:t>
      </w:r>
    </w:p>
    <w:p>
      <w:r>
        <w:t xml:space="preserve">受国务院委托，国务委员兼公安部部长孟建柱昨日上午向十一届全国人大常委会第十四次会议报告了贯彻实施道路交通安全法、加强道路交通安全管理工作的有关情况。</w:t>
      </w:r>
    </w:p>
    <w:p>
      <w:r>
        <w:t xml:space="preserve">在报告中，孟建柱建议在《刑法》中增设“危险驾驶机动车罪”，将醉酒驾驶机动车、在城镇违法高速驾驶机动车竞逐等严重危害公共安全的交通违法行</w:t>
      </w:r>
    </w:p>
    <w:p>
      <w:r>
        <w:t xml:space="preserve">为纳入《刑法》，并提高交通肇事罪的法定最高刑。</w:t>
      </w:r>
    </w:p>
    <w:p>
      <w:pPr>
        <w:pStyle w:val="Heading4"/>
      </w:pPr>
      <w:bookmarkStart w:id="35" w:name="缺少法律依据判决差距大"/>
      <w:bookmarkEnd w:id="35"/>
      <w:r>
        <w:t xml:space="preserve">缺少法律依据，判决差距大</w:t>
      </w:r>
    </w:p>
    <w:p>
      <w:r>
        <w:t xml:space="preserve">这一提法，引发了全国人大常委会组成人员的关注。“报告建议，在刑法中增设危险驾驶机动车罪，我个人表示赞同。”朱启委员说，我国拥有世界上1.9％的汽车，但是引发的交通死亡事故却占15％，道路交通事故死亡率，是世界上最高的国家。处罚力度偏轻，是导致交通事故不断增多的主要原因。</w:t>
      </w:r>
    </w:p>
    <w:p>
      <w:r>
        <w:t xml:space="preserve">朱启指出，按照我国刑法的规定，酒后甚至醉酒驾驶尚未造成事故的，不构成犯罪。即使触犯了交通肇事罪，仅仅处以三年以下有期徒刑或拘役。去年，杭州、南京等地接连发生几起交通事故，甚至造成群死群伤。由于缺少法律依据，判处结果差距较大，群众反应非常强烈，严惩酒后驾驶的呼声高涨。</w:t>
      </w:r>
    </w:p>
    <w:p>
      <w:pPr>
        <w:pStyle w:val="Heading4"/>
      </w:pPr>
      <w:bookmarkStart w:id="36" w:name="醉驾与飙车是两大马路杀手"/>
      <w:bookmarkEnd w:id="36"/>
      <w:r>
        <w:t xml:space="preserve">醉驾与飙车是两大“马路杀手”</w:t>
      </w:r>
    </w:p>
    <w:p>
      <w:r>
        <w:t xml:space="preserve">南振中委员也认为，报告建议在刑法中增设“危险驾驶机动车罪”，将醉酒驾驶机动车、在城镇违法高速驾驶机动车竞逐等严重危害公共安全的交通违法行为纳入刑法，这一建议有吸纳价值。</w:t>
      </w:r>
    </w:p>
    <w:p>
      <w:r>
        <w:t xml:space="preserve">南振中委员介绍说，据内务司法委员会的调研报告，2009年全国查处酒后驾驶案件31.3万起，其中醉酒驾驶4.2万起。酒后驾驶导致的交通事故和死亡人数虽比上年有所减少，但醉酒驾驶机动车和在城区飙车仍然是人民群众深恶痛绝的两大“马路杀手”。“报告建议适当时候修改刑法，但修改刑法不是说改就改的，在没有改之前，建议国务院有关部门可以出台一些具体条例，先严管起来。”李祖沛委员建议说。</w:t>
      </w:r>
    </w:p>
    <w:p>
      <w:pPr>
        <w:pStyle w:val="Heading4"/>
      </w:pPr>
      <w:bookmarkStart w:id="37" w:name="危险驾驶罪拟分三档"/>
      <w:bookmarkEnd w:id="37"/>
      <w:r>
        <w:t xml:space="preserve">“危险驾驶罪”拟分三档</w:t>
      </w:r>
    </w:p>
    <w:p>
      <w:r>
        <w:t xml:space="preserve">2009年，公安部就拟加大醉酒驾驶等严重违法行为刑事处罚力度，提出在《刑法》分则第二章危害公共安全罪中增加“危险驾驶机动车罪”罪名，将醉酒驾车、吸食毒品驾车以及飙车等行为纳入刑法调整范围，并分别按照没有造成交通事故、造成交通事故和情节特别严重三个档次进行处罚，造成事故和情节特别严重的法定处罚应当高于交通肇事罪的法定刑罚。 据新华社等</w:t>
      </w:r>
    </w:p>
    <w:p>
      <w:hyperlink r:id="rId38">
        <w:r>
          <w:rPr>
            <w:rStyle w:val="Link"/>
          </w:rPr>
          <w:t xml:space="preserve">来源：华商网</w:t>
        </w:r>
      </w:hyperlink>
    </w:p>
    <w:p>
      <w:pPr>
        <w:pStyle w:val="Heading3"/>
      </w:pPr>
      <w:bookmarkStart w:id="39" w:name="广州在国内率先立法禁止办公室吸烟-违规者罚50元"/>
      <w:bookmarkEnd w:id="39"/>
      <w:r>
        <w:t xml:space="preserve">广州在国内率先立法禁止办公室吸烟 违规者罚50元</w:t>
      </w:r>
    </w:p>
    <w:p>
      <w:r>
        <w:t xml:space="preserve">《广州市控制吸烟条例》28日在广州市第十三届人大常委会第三十次会议获得通过。条例规定，国家机关、企事业单位、社会团体和其它组织的办公室、会议室、礼堂、公共走廊、电梯以及本单位的餐厅、咖啡厅禁止吸烟。违法吸烟、拒不改正者可处以50元罚款。</w:t>
      </w:r>
    </w:p>
    <w:p>
      <w:r>
        <w:t xml:space="preserve">国家控烟办副主任姜垣表示，这是国内首部把办公室纳入禁烟范围的地方性控烟条例。此前，上海通过的控烟条例将国家机关的会议室列入禁烟范围。</w:t>
      </w:r>
    </w:p>
    <w:p>
      <w:r>
        <w:t xml:space="preserve">《广州市控制吸烟条例》规定了控烟的领导和管理机构、禁烟范围、处罚措施等。条例规定对应设置而未设置吸烟室（区）的经营者以及户外设置烟草广告的相关经营者等给与罚款。</w:t>
      </w:r>
    </w:p>
    <w:p>
      <w:r>
        <w:t xml:space="preserve">是否应该将办公室等工作场所纳入控烟范围，成为条例审议过程中的争议焦点。在今年3月17日广州市人大常委会对控烟条例进行二次审议时，曾删除了一审稿对机关、社会团体、企事业单位和其它组织的礼堂、会议（厅）室、办公室、办公服务大厅等工作场所禁烟的规定，引起市民和控烟人士的关注。</w:t>
      </w:r>
    </w:p>
    <w:p>
      <w:r>
        <w:t xml:space="preserve">广州市控烟协会会长姚蓉宾此前对记者表示，控烟条例重启对工作场所的限制，即将在广州召开的亚运会的因素不可忽视，烟雾缭绕无疑有损城市形象。同时，《世界卫生组织烟草控制框架公约》要求中国2011年实现全面禁烟，也是促使广州控烟加大力度的原因。</w:t>
      </w:r>
    </w:p>
    <w:p>
      <w:r>
        <w:t xml:space="preserve">“这个控烟条例非常重要，将对全国起到积极的示范作用。”姜垣说。不过，她也提醒，立法成功后，执法的效果将关系控烟行动的成败。“只有加强宣传，通过多部门的联合监管，才能逐渐让控烟看到成效。”姜垣说</w:t>
      </w:r>
    </w:p>
    <w:p>
      <w:hyperlink r:id="rId40">
        <w:r>
          <w:rPr>
            <w:rStyle w:val="Link"/>
          </w:rPr>
          <w:t xml:space="preserve">来源：人民网</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1">
        <w:r>
          <w:rPr>
            <w:rStyle w:val="Link"/>
          </w:rPr>
          <w:t xml:space="preserve">unsubscribe@charltonslaw.com</w:t>
        </w:r>
      </w:hyperlink>
    </w:p>
    <w:p>
      <w:r>
        <w:rPr>
          <w:b/>
        </w:rPr>
        <w:t xml:space="preserve">易周律师行 - 法讯 - 中国 - 第336期 - 2010年05月03日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ae6205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finance.people.com.cn/GB/11442828.html" TargetMode="External" /><Relationship Type="http://schemas.openxmlformats.org/officeDocument/2006/relationships/hyperlink" Id="rId29" Target="http://finance.people.com.cn/GB/11442829.html" TargetMode="External" /><Relationship Type="http://schemas.openxmlformats.org/officeDocument/2006/relationships/hyperlink" Id="rId32" Target="http://finance.people.com.cn/GB/11459225.html" TargetMode="External" /><Relationship Type="http://schemas.openxmlformats.org/officeDocument/2006/relationships/hyperlink" Id="rId27" Target="http://finance.people.com.cn/GB/11480151.html" TargetMode="External" /><Relationship Type="http://schemas.openxmlformats.org/officeDocument/2006/relationships/hyperlink" Id="rId40" Target="http://health.people.com.cn/GB/11483327.html" TargetMode="External" /><Relationship Type="http://schemas.openxmlformats.org/officeDocument/2006/relationships/hyperlink" Id="rId38" Target="http://hsb.hsw.cn/2010-04/29/content_7719250.htm" TargetMode="External" /><Relationship Type="http://schemas.openxmlformats.org/officeDocument/2006/relationships/hyperlink" Id="rId21" Target="http://www.charltonslaw.com.cn/china-news-alerts-cn-issue-336/" TargetMode="External" /><Relationship Type="http://schemas.openxmlformats.org/officeDocument/2006/relationships/hyperlink" Id="rId4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5" Target="http://finance.people.com.cn/GB/11442828.html" TargetMode="External" /><Relationship Type="http://schemas.openxmlformats.org/officeDocument/2006/relationships/hyperlink" Id="rId29" Target="http://finance.people.com.cn/GB/11442829.html" TargetMode="External" /><Relationship Type="http://schemas.openxmlformats.org/officeDocument/2006/relationships/hyperlink" Id="rId32" Target="http://finance.people.com.cn/GB/11459225.html" TargetMode="External" /><Relationship Type="http://schemas.openxmlformats.org/officeDocument/2006/relationships/hyperlink" Id="rId27" Target="http://finance.people.com.cn/GB/11480151.html" TargetMode="External" /><Relationship Type="http://schemas.openxmlformats.org/officeDocument/2006/relationships/hyperlink" Id="rId40" Target="http://health.people.com.cn/GB/11483327.html" TargetMode="External" /><Relationship Type="http://schemas.openxmlformats.org/officeDocument/2006/relationships/hyperlink" Id="rId38" Target="http://hsb.hsw.cn/2010-04/29/content_7719250.htm" TargetMode="External" /><Relationship Type="http://schemas.openxmlformats.org/officeDocument/2006/relationships/hyperlink" Id="rId21" Target="http://www.charltonslaw.com.cn/china-news-alerts-cn-issue-336/" TargetMode="External" /><Relationship Type="http://schemas.openxmlformats.org/officeDocument/2006/relationships/hyperlink" Id="rId4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第336期 - 2010年05月03日</dc:title>
  <dc:creator/>
</cp:coreProperties>
</file>