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第337期</w:t>
      </w:r>
      <w:r>
        <w:t xml:space="preserve"> </w:t>
      </w:r>
      <w:r>
        <w:t xml:space="preserve">-</w:t>
      </w:r>
      <w:r>
        <w:t xml:space="preserve"> </w:t>
      </w:r>
      <w:r>
        <w:t xml:space="preserve">2010年05月07日</w:t>
      </w:r>
    </w:p>
    <w:p>
      <w:hyperlink r:id="rId21">
        <w:r>
          <w:rPr>
            <w:rStyle w:val="Link"/>
          </w:rPr>
          <w:t xml:space="preserve">网络版</w:t>
        </w:r>
      </w:hyperlink>
    </w:p>
    <w:p>
      <w:pPr>
        <w:pStyle w:val="Heading1"/>
      </w:pPr>
      <w:bookmarkStart w:id="22" w:name="法讯中国第337期"/>
      <w:bookmarkEnd w:id="22"/>
      <w:r>
        <w:t xml:space="preserve">法讯中国第337期</w:t>
      </w:r>
    </w:p>
    <w:p>
      <w:pPr>
        <w:pStyle w:val="Heading2"/>
      </w:pPr>
      <w:bookmarkStart w:id="23" w:name="资本市场-capital-markets"/>
      <w:bookmarkEnd w:id="23"/>
      <w:r>
        <w:t xml:space="preserve">资本市场 Capital Markets</w:t>
      </w:r>
    </w:p>
    <w:p>
      <w:pPr>
        <w:pStyle w:val="Heading3"/>
      </w:pPr>
      <w:bookmarkStart w:id="24" w:name="证监会核准中国平安换股收购深发展"/>
      <w:bookmarkEnd w:id="24"/>
      <w:r>
        <w:t xml:space="preserve">证监会核准中国平安换股收购深发展</w:t>
      </w:r>
    </w:p>
    <w:p>
      <w:r>
        <w:t xml:space="preserve">在历经一年等待后，好事多磨的“平深恋”即将迎来修成正果的一刻。</w:t>
      </w:r>
    </w:p>
    <w:p>
      <w:r>
        <w:t xml:space="preserve">中国平安、深发展昨晚分别发布交易进展公告称，商务部、银监会、保监会已分别同意中国平安和平安人寿携手收购深发展股份，证监会则核准中国平安通过换股方式收购美国新桥投资(NEWBRIDGE)持有的深发展股权。</w:t>
      </w:r>
    </w:p>
    <w:p>
      <w:r>
        <w:t xml:space="preserve">目前，中国平安离成功收购深发展仅一步之遥，只缺证监会同意平安人寿参与深发展定向增发的最后一道批复。</w:t>
      </w:r>
    </w:p>
    <w:p>
      <w:r>
        <w:t xml:space="preserve">中国平安欲做深发展第一大股东的愿望，以及深发展自身融资需求的迫切性，使得中国平安对深发展的股权投资要分两步进行。</w:t>
      </w:r>
    </w:p>
    <w:p>
      <w:r>
        <w:t xml:space="preserve">一方面，中国平安通过旗下控股子公司平安人寿参与深发展的定向增发；另一方面，中国平安将受让深发展第一大股东美国新桥投资持有的深发展约5.2亿股股权。</w:t>
      </w:r>
    </w:p>
    <w:p>
      <w:r>
        <w:t xml:space="preserve">据公告，平安人寿通过非公开发行方式认购深发展股份的股东资格，以及中国平安受让新桥持有的深发展股份的股东资格，深发展非公开发行A股普通股都已获银监会同意。</w:t>
      </w:r>
    </w:p>
    <w:p>
      <w:r>
        <w:t xml:space="preserve">中国平安向新桥定向增发约2.99亿股H股，新桥以其所持有的深发展约5.2亿股股份作为支付对价，也获证监会核准。</w:t>
      </w:r>
    </w:p>
    <w:p>
      <w:r>
        <w:t xml:space="preserve">而新桥选择换股方式,获益不菲。以中国平安H股最新收盘价来计算，新桥将可从该笔交易中获得172亿元人民币，相比现金支付的114亿元人民币显然划算得多。</w:t>
      </w:r>
    </w:p>
    <w:p>
      <w:r>
        <w:t xml:space="preserve">业内人士分析认为,交易成功后，中国平安将持有深发展不超过30%的股权，成为后者的第一大股东；而对于求“资”若渴的深发展来说，平安的入主也能使其在今年提前实现资本补充的目标。</w:t>
      </w:r>
    </w:p>
    <w:p>
      <w:hyperlink r:id="rId25">
        <w:r>
          <w:rPr>
            <w:rStyle w:val="Link"/>
          </w:rPr>
          <w:t xml:space="preserve">来源：人民网</w:t>
        </w:r>
      </w:hyperlink>
    </w:p>
    <w:p>
      <w:pPr>
        <w:pStyle w:val="Heading3"/>
      </w:pPr>
      <w:bookmarkStart w:id="26" w:name="人民币海外存款骤增-离岸投资a股或放行"/>
      <w:bookmarkEnd w:id="26"/>
      <w:r>
        <w:t xml:space="preserve">人民币海外存款骤增 离岸投资A股或放行</w:t>
      </w:r>
    </w:p>
    <w:p>
      <w:r>
        <w:t xml:space="preserve">据证券时报报道，今年以来，人民币跨境贸易结算出现爆发式增长，境外人民币存款再度创出新高；而随着境外金融机构纷纷推出人民币计价的投资产品，人民币回流投资迫切性也不断增大。记者昨日从上海金融办等处获悉，有关方面正考虑开放海外人民币离岸投资内地资本市场。</w:t>
      </w:r>
    </w:p>
    <w:p>
      <w:r>
        <w:t xml:space="preserve">记者从中行、交行和招行等获悉，今年以来银行的跨境贸易人民币结算量出现爆发式增长，呈现出每月度倍增的局面。3家银行国际业务部相关人士告诉记者，进出口企业选择以人民币进行跨境贸易结算，可以规避汇率风险，锁定企业财务成本，大幅提高资金使用效率，这一方式已逐渐被进出口企业所推崇。以中行为例，截至今年2月底，该行办理的人民币跨境结算业务总量为187亿，其中包括境内试点行办理的64亿元和中银香港办理的123亿元；而到3月底，这一数字骤然上升至320亿，境内外分别突破90亿元和240亿元。</w:t>
      </w:r>
    </w:p>
    <w:p>
      <w:r>
        <w:t xml:space="preserve">业内分析认为，按照现有业务扩张水平预计，2010年跨境贸易人民币总量突破2000亿已经毫无悬念；而随着今年内地人民币结算试点从上海等5个城市将扩大至宁波等14个城市，以及人民币升值预期加剧，业务总量更是有望突破3000亿元。</w:t>
      </w:r>
    </w:p>
    <w:p>
      <w:r>
        <w:t xml:space="preserve">由于跨境贸易人民币结算中进口比例远超出口，因此境外人民币存款近期也创出新高。最新公布的香港金管局3月份货币统计显示，香港人民币存款增至708亿元。受人民币升值预期影响，3月份香港外币存款环比减少0.2％，而人民币存款则增加7.1％。目前，包括汇丰和花旗在内的多家境外金融机构都推出以人民币计价的保险产品，并积极筹划股票投资产品。香港银行公会主席洪丕正表示，银行发行人民币产品有助于人民币存款量和流通量增加，从而增加人民币贸易结算量。根据2009年港币和人民币之间的货币互换协议，中国人民银行可提供的流动性规模为2000亿元人民币。</w:t>
      </w:r>
    </w:p>
    <w:p>
      <w:r>
        <w:t xml:space="preserve">目前海外人民币回流投资依然受限。据悉，不少香港银行在吸收人民币存款之后，通过中银香港等清算行将存款返存至深圳人民银行，仅收取1%左右的利息。对此，香港金管局前任主席任志刚表示，希望内地监管机构可以“开绿灯”，允许境外人民币投资境内资本市场。例如，允许股票交易商为客户开设人民币账户。</w:t>
      </w:r>
    </w:p>
    <w:p>
      <w:r>
        <w:t xml:space="preserve">这一呼声得到了上海方面的积极反馈。记者昨日从上海金融办获悉，有关方面正考虑开放海外人民币在内地正常的投资渠道，包括债券、股票、银行间拆借等，以利于人民币跨境贸易结算逐步深化。同时，今年内上交所将会推出跨境交易所买卖基金（ETF）。此前，央行副行长、央行上海总部主任苏宁也表示，支持沪港建设人民币离岸金融市场。</w:t>
      </w:r>
    </w:p>
    <w:p>
      <w:hyperlink r:id="rId27">
        <w:r>
          <w:rPr>
            <w:rStyle w:val="Link"/>
          </w:rPr>
          <w:t xml:space="preserve">来源：中国网</w:t>
        </w:r>
      </w:hyperlink>
    </w:p>
    <w:p>
      <w:pPr>
        <w:pStyle w:val="Heading2"/>
      </w:pPr>
      <w:bookmarkStart w:id="28" w:name="金融-finance"/>
      <w:bookmarkEnd w:id="28"/>
      <w:r>
        <w:t xml:space="preserve">金融 Finance</w:t>
      </w:r>
    </w:p>
    <w:p>
      <w:pPr>
        <w:pStyle w:val="Heading3"/>
      </w:pPr>
      <w:bookmarkStart w:id="29" w:name="存款准备金率上调0.5个百分点-为年内第三次"/>
      <w:bookmarkEnd w:id="29"/>
      <w:r>
        <w:t xml:space="preserve">存款准备金率上调0.5个百分点 为年内第三次</w:t>
      </w:r>
    </w:p>
    <w:p>
      <w:r>
        <w:t xml:space="preserve">据央行网站消息，中国人民银行决定，从2010年5月10日起，上调存款类金融机构人民币存款准备金率0.5个百分点，农村信用社、村镇银行暂不上调。</w:t>
      </w:r>
    </w:p>
    <w:p>
      <w:r>
        <w:t xml:space="preserve">这是今年内央行第三次上调存款准备金率，前两次分别在今年1月18日和2月25日。</w:t>
      </w:r>
    </w:p>
    <w:p>
      <w:r>
        <w:t xml:space="preserve">业界普遍认为，此次存款准备金率的上调，意味着宽松的货币政策转向信号明显，对于目前低迷的股市和楼市来说，无疑将承受巨大压力，甚至可以说是“雪上加霜”。</w:t>
      </w:r>
    </w:p>
    <w:p>
      <w:r>
        <w:t xml:space="preserve">存款准备金率已经三次上调，此前期预期颇强的加息“靴子”何时会落下？加息离我们更远了还是更近了？</w:t>
      </w:r>
    </w:p>
    <w:p>
      <w:r>
        <w:t xml:space="preserve">专家们对此的意见难以统一。认为加息可能性变小的一个重要理由就是，因为“房地产调整就相当于一次加息”。国泰君安首席经济学家李迅雷就抱有这个观点，他在5月2日晚间对网易财经表示，存款准备金率的调整是市场中常见和常用的货币调控工具，这次解决外汇占款过大，而不能说明国内经济已经过热。</w:t>
      </w:r>
    </w:p>
    <w:p>
      <w:r>
        <w:t xml:space="preserve">加息主要取决于CPI，而CPI将在10月达到4%的峰值，而全年平均水平将在3.2%，可基本实现年初政府工作报告制定的3%的目标涨幅。</w:t>
      </w:r>
    </w:p>
    <w:p>
      <w:r>
        <w:t xml:space="preserve">另一种观点认为，加息在年内是个必然的政策选项，因为上调存款准备金率是为收缩市场流动性，加息才是应对经济过热的根本之道。</w:t>
      </w:r>
    </w:p>
    <w:p>
      <w:r>
        <w:t xml:space="preserve">申银万国高级宏观经济分析师李慧勇对网易财经表示，频繁上调的存款准备金率和央票的发行，表明国内经济正处于过热局面，预计年内加息将成为必然。</w:t>
      </w:r>
    </w:p>
    <w:p>
      <w:r>
        <w:t xml:space="preserve">在全球复苏浪潮中，一季度中国GDP同比增长11.9% ，傲视群雄，即使与经济景气的年份相比，也是”过热“区间之内了。</w:t>
      </w:r>
    </w:p>
    <w:p>
      <w:r>
        <w:t xml:space="preserve">无论是否加息，五一节后的股市楼市恐怕都难逃一轮”雪上加霜“的调整期。根据网易财经数据库资料显示，从08年开始的10次存款准备金率调整中，股市上扬的只有三次，节后股市表现不容乐观。</w:t>
      </w:r>
    </w:p>
    <w:p>
      <w:r>
        <w:t xml:space="preserve">房地产市场同样不乐观，在雷霆万钧的中央房地产调控政策风暴之后，各地更加严厉的调控政策接踵而来。部分热点地区的楼盘已经出现降价动作和趋势。调高存款准备金率无疑会在房地产企业融资上”开始拧紧了水龙头“。</w:t>
      </w:r>
    </w:p>
    <w:p>
      <w:hyperlink r:id="rId30">
        <w:r>
          <w:rPr>
            <w:rStyle w:val="Link"/>
          </w:rPr>
          <w:t xml:space="preserve">来源：网易</w:t>
        </w:r>
      </w:hyperlink>
    </w:p>
    <w:p>
      <w:pPr>
        <w:pStyle w:val="Heading2"/>
      </w:pPr>
      <w:bookmarkStart w:id="31" w:name="公司corporate"/>
      <w:bookmarkEnd w:id="31"/>
      <w:r>
        <w:t xml:space="preserve">公司Corporate</w:t>
      </w:r>
    </w:p>
    <w:p>
      <w:pPr>
        <w:pStyle w:val="Heading3"/>
      </w:pPr>
      <w:bookmarkStart w:id="32" w:name="球场数量是审批数40倍-高尔夫球场将遭严查清算"/>
      <w:bookmarkEnd w:id="32"/>
      <w:r>
        <w:t xml:space="preserve">球场数量是审批数40倍 高尔夫球场将遭严查清算</w:t>
      </w:r>
    </w:p>
    <w:p>
      <w:r>
        <w:t xml:space="preserve">经国土部审批的高尔夫球场只有10个，新建球场却近400个。尽管相关部门发布的高尔夫球场“禁建令”一道严过一道，却难以阻挡部分地方对可获取高利润的高尔夫球场的“不懈追求”。 在昨日国土部举行的挂牌督办违法案件及2009年土地例行督察公告新闻发布会上，国土部执法监察局局长李建勤表示，国家发改委、国土部、住建部等七部委正在进行高尔夫球场摸底调查工作，相关处理方案即日公布。</w:t>
      </w:r>
    </w:p>
    <w:p>
      <w:r>
        <w:t xml:space="preserve">“现在一些地区拟建、在建高尔夫球场的现象又出现了。”在昨日的发布会上，李建勤告诉记者，当前各地高尔夫球场建设出现了一些新情况。此前国务院出台《关于推进海南国际旅游岛建设发展若干意见》，其中有规范高尔夫球场建设的内容，“有些地方片面理解，以为可以开始建高尔夫球场了”。</w:t>
      </w:r>
    </w:p>
    <w:p>
      <w:r>
        <w:t xml:space="preserve">今年年初，国务院在《关于推进海南国际旅游岛建设发展若干意见》中对高尔夫产业的发展做出了政策性规定：海南应在符合土地利用总体规划和城乡规划、不占用耕地特别是基本农田、有效保护森林和生态环境、维护农民合法权益并依法办理用地手续的前提下，科学规划、总量控制、合理布局，规范发展高尔夫旅游。</w:t>
      </w:r>
    </w:p>
    <w:p>
      <w:r>
        <w:t xml:space="preserve">“这是对海南旅游岛的一个指导性意见，并不代表放开高尔夫球场。2004年1月，国务院发文规定地方各级政府、国务院各部门一律不得批准建设新的高尔夫球场项目。”李建勤说，这一规定现在仍然有效。目前国家发改委会同国土部、住建部等七部委，正在进行高尔夫球场的调查工作，各省正在上报有关数字。</w:t>
      </w:r>
    </w:p>
    <w:p>
      <w:r>
        <w:t xml:space="preserve">值得注意的是，涉及高尔夫球场建设的土地违法案件，其涉及土地面积均较大。在昨日国土部公开挂牌督办的案件中，便包括鄂尔多斯一通煤化公司违规建设高尔夫球场案。该公司违法占地达905．59亩，其中违规建设高尔夫球场及附属设施占地875．94亩。</w:t>
      </w:r>
    </w:p>
    <w:p>
      <w:r>
        <w:t xml:space="preserve">统计显示，截至目前，全国经过国土部审批的高尔夫球场只有10个，但在2004年1月国务院停止高尔夫球场用地审批及诸多“禁令”出台后，现在我国新建高尔夫球场却有近400个。对此，国土部部长徐绍史在今年的国土部工作会议上曾公开表示，今年要重点打好六场硬仗，“要重点清理小产权房和高尔夫球场”。</w:t>
      </w:r>
    </w:p>
    <w:p>
      <w:hyperlink r:id="rId33">
        <w:r>
          <w:rPr>
            <w:rStyle w:val="Link"/>
          </w:rPr>
          <w:t xml:space="preserve">来源：人民网</w:t>
        </w:r>
      </w:hyperlink>
    </w:p>
    <w:p>
      <w:pPr>
        <w:pStyle w:val="Heading3"/>
      </w:pPr>
      <w:bookmarkStart w:id="34" w:name="上海核发首张境内自然人投资设立合资企业营业执照"/>
      <w:bookmarkEnd w:id="34"/>
      <w:r>
        <w:t xml:space="preserve">上海核发首张境内自然人投资设立合资企业营业执照</w:t>
      </w:r>
    </w:p>
    <w:p>
      <w:r>
        <w:t xml:space="preserve">上海市工商局陈学军副局长今天该市首家境内自然人投资设立的中外合资企业——上海中绿环保科技有限公司颁发了营业执照。允许境内自然人投资设立外商投资企业，是市工商局支持浦东新区综合配套改革出台的又一创新举措。</w:t>
      </w:r>
    </w:p>
    <w:p>
      <w:r>
        <w:t xml:space="preserve">据了解，我国在上世纪80年代前后制定的《中外合资经营企业法》和《中外合作经营企业法》，并未将境内自然人列入外商投资企业的投资者范畴，这不仅遏制了境内自然人与国外资金、先进技术和管理经验的有机结合，也违背了国民待遇的基本原则。实践操作中受限于上述规定，也出现了极个别境内自然人为投资设立外商投资企业，先设空壳私营企业再与外方实现合资的变通做法。为了让这种隐性出资早日浮出水面，在近年来出台的各类法律法规中也逐渐放宽了这一限制，尤其是今年3月1日颁布实施的《外国企业或者个人在中国境内设立合伙企业管理办法》，又一次突破了这一规定，再次证明允许境内自然人投资设立外商投资企业，不仅是国际惯例的需要，社会投资的需求，也符合法治发展的大方向和总趋势。</w:t>
      </w:r>
    </w:p>
    <w:p>
      <w:r>
        <w:t xml:space="preserve">为此，上海市工商局与浦东新区人民政府等相关部门积极磋商，于近日以浦府综改2010年1号文件的形式正式出台了《境内自然人在浦东新区投资设立中外合资、中外合作经营企业试行办法》。该政策的出台，将进一步扩大民间资本的投资渠道，释放民间资本的巨大活力，在彰显其积极经济意义的同时，也折射出其背后更为深远的政治意义和社会价值。</w:t>
      </w:r>
    </w:p>
    <w:p>
      <w:r>
        <w:t xml:space="preserve">根据《试行办法》，凡持有中国居民身份证且具有完全民事行为能力的境内居民，均可在浦东新区与外国公司、企业、其他经济组织或者个人共同投资设立中外合资、中外合作经营企业。境内自然人的投资或提供的合作条件可以是货币，也可以是实物、知识产权等可以用货币估价并依法转让的非货币财产。试行阶段，境内自然人投资设立外商投资企业的领域暂限于《外商投资产业指导目录》规定的鼓励或允许类项目。</w:t>
      </w:r>
    </w:p>
    <w:p>
      <w:r>
        <w:t xml:space="preserve">据悉，上海市工商部门还将进一步在浦东推进和完善外资直接登记制，对于落户浦东的外商投资企业从事国家鼓励类、允许类的经营项目，实行工商直接登记，营造更为符合国际惯例的市场准入环境。</w:t>
      </w:r>
    </w:p>
    <w:p>
      <w:pPr>
        <w:pStyle w:val="Heading4"/>
      </w:pPr>
      <w:bookmarkStart w:id="35" w:name="链接企业基本情况"/>
      <w:bookmarkEnd w:id="35"/>
      <w:r>
        <w:t xml:space="preserve">【链接：企业基本情况】</w:t>
      </w:r>
    </w:p>
    <w:p>
      <w:r>
        <w:t xml:space="preserve">上海中绿环保科技有限公司注册在浦东张江，注册资本800万元人民币，经营范围为污泥处理技术及其环保设备的研发、设计。作为上海市首家境内自然人投资设立的中外合资企业，该公司的中外投资方均为自然人，且在各自领域具有相当的代表性。其中中方投资者中有曾获得过9项发明专利和3项实用专利的技术专家，享受国务院特殊津贴的学术专家，以及精于管理的职业经理人，三名境内自然人共计出资484万，占注册资本的60%。境外投资者为一名美籍华人，化学博士，出资316万，占注册资本的40%。</w:t>
      </w:r>
    </w:p>
    <w:p>
      <w:hyperlink r:id="rId36">
        <w:r>
          <w:rPr>
            <w:rStyle w:val="Link"/>
          </w:rPr>
          <w:t xml:space="preserve">来源：人民网</w:t>
        </w:r>
      </w:hyperlink>
    </w:p>
    <w:p>
      <w:pPr>
        <w:pStyle w:val="Heading2"/>
      </w:pPr>
      <w:bookmarkStart w:id="37" w:name="其他-other"/>
      <w:bookmarkEnd w:id="37"/>
      <w:r>
        <w:t xml:space="preserve">其他 Other</w:t>
      </w:r>
    </w:p>
    <w:p>
      <w:pPr>
        <w:pStyle w:val="Heading3"/>
      </w:pPr>
      <w:bookmarkStart w:id="38" w:name="国新办确认推动网络实名制-匿名跟帖将成历史"/>
      <w:bookmarkEnd w:id="38"/>
      <w:r>
        <w:t xml:space="preserve">国新办确认推动网络实名制 匿名跟帖将成历史</w:t>
      </w:r>
    </w:p>
    <w:p>
      <w:r>
        <w:t xml:space="preserve">据《人民日报》报道，十一届全国人大常委会4月29日下午举行第十五讲专题讲座，主讲人是中宣部副部长，中央外宣办、国务院新闻办主任王晨。他从当前我国互联网发展和管理现状、互联网发展趋势和面临的主要挑战、进一步推动我国互联网科学健康有序发展等三个方面作了详细讲解。</w:t>
      </w:r>
    </w:p>
    <w:p>
      <w:r>
        <w:t xml:space="preserve">中国人大网刊出了讲稿全文。其中，“在重点新闻网站和主要商业网站取消新闻跟帖‘匿名发言’功能”是有关部门首次公开披露。去年7月香港媒体曾报道，国新办当时下达通知，“要求各新闻网站取消现行的新闻稿件匿名跟帖或发帖功能，转而实施实名注册登录制度，即网民在新闻网站注册时必须填写真实姓名、身份证号码等信息，通过验证后方可登录跟帖或发帖，对新闻发表言论。”</w:t>
      </w:r>
    </w:p>
    <w:p>
      <w:r>
        <w:t xml:space="preserve">此后，各主要新闻网站确是有所变化，网友需要登录才能发言，但并不需要提供真实姓名、身份证号码等信息和证明。某门户网站新闻跟帖工作的主管昨天对南都记者表示，所谓要求提供身份证明的说法只是坊间传闻，去年明确下达的通知中只要求登录后跟帖。</w:t>
      </w:r>
    </w:p>
    <w:p>
      <w:r>
        <w:t xml:space="preserve">王晨说“网站电子公告服务用户身份认证工作正在探索之中”，业内理解为这明确要对“用户”、也就是网民进行身份认证，这也就是我们传统上理解的网络实名制。网络实名制不是一个新鲜的词汇，几年来网上一直热议，而这次讲话被认为是官方首次明确，网络实名制确实摆在主管部门的日程表上。此外，王晨还建议尽早启动《互联网管理法》的立法工作。</w:t>
      </w:r>
    </w:p>
    <w:p>
      <w:hyperlink r:id="rId39">
        <w:r>
          <w:rPr>
            <w:rStyle w:val="Link"/>
          </w:rPr>
          <w:t xml:space="preserve">来源：腾讯</w:t>
        </w:r>
      </w:hyperlink>
    </w:p>
    <w:p>
      <w:pPr>
        <w:pStyle w:val="Heading3"/>
      </w:pPr>
      <w:bookmarkStart w:id="40" w:name="官员吹风房产保有税和物业税-称与土地出让金并行不悖"/>
      <w:bookmarkEnd w:id="40"/>
      <w:r>
        <w:t xml:space="preserve">官员吹风房产保有税和物业税 称与土地出让金“并行不悖”</w:t>
      </w:r>
    </w:p>
    <w:p>
      <w:r>
        <w:t xml:space="preserve">税法起草人、国务院法制办财政金融司副司长季怀银，和财政部财政科学研究所所长贾康，分别发表住房保有税和物业税官方言论。</w:t>
      </w:r>
    </w:p>
    <w:p>
      <w:r>
        <w:t xml:space="preserve">“税收政策要真正发挥作用，必须让囤积住房的人付出较高成本，至少要抵消掉他们的预期收益”；“征收物业税非常必要，现阶段是推出物业税的可操作时机。”</w:t>
      </w:r>
    </w:p>
    <w:p>
      <w:r>
        <w:t xml:space="preserve">4日，国务院法制办财政金融司副司长季怀银、财政部财政科学研究所所长贾康分别向新华社、《人民日报》（海外版）作出上述表示。</w:t>
      </w:r>
    </w:p>
    <w:p>
      <w:r>
        <w:t xml:space="preserve">季怀银同时还是税法起草人。他对新华社表示，开征住房保有环节的税收，是保证住房市场健康发展的治本之策，也是解决当前我国面临的多项棘手问题的治本之策，早开征比晚开征好，但需分步实施而非一蹴而就。</w:t>
      </w:r>
    </w:p>
    <w:p>
      <w:r>
        <w:t xml:space="preserve">他建议，在当前条件下，对住房保有环节征税可分步实施。初期可以明确对生活必需的住房免税，免税范围可以按套数和按面积两个标准就高不就低。</w:t>
      </w:r>
    </w:p>
    <w:p>
      <w:r>
        <w:t xml:space="preserve">季怀银呼吁“开征住房保有税早比晚好”。他表示，大量的投机炒作是导致房价暴涨暴跌的根源，开征保有税恰恰可以消除这一根源，维护市场安全。只要初期采取审慎步骤，放宽免税范围，完全可以避免房价大的震动。</w:t>
      </w:r>
    </w:p>
    <w:p>
      <w:r>
        <w:t xml:space="preserve">同一天，《人民日报》（海外版）以“权威访谈”的形式发表了财政部财政科学研究所所长贾康对房地产税收政策的看法。</w:t>
      </w:r>
    </w:p>
    <w:p>
      <w:r>
        <w:t xml:space="preserve">贾康明确表示，目前征收物业税不存在硬障碍，其所需要的产权登记与保护、税基评估、信息管理与沟通、税收征管，以及人员培训、评估软件和收缴管理等各环节的专业力量与条件，都已经具备。</w:t>
      </w:r>
    </w:p>
    <w:p>
      <w:r>
        <w:t xml:space="preserve">他还进一步驳斥了“土地出让金与物业税是重复征收，存在法理障碍”的观点。他解释说，土地出让金其性质是土地使用权的价格，即凭借所有者身份对使用权持有人收取的地租；而物业税，其性质是不动产保有环节上使用权持有人所必须缴纳的法定税负，收取者凭借的是社会管理者的政治权力。两者可以合理匹配、并行不悖，不存在所谓不可克服的“法理障碍”和“重复征收”问题。前几年，土地出让金的生成价位较高，而一旦推出物业税，其生成价位会因交易者预期的改变而相对较低，新老地产的这种差异不是开征物业税的硬障碍。</w:t>
      </w:r>
    </w:p>
    <w:p>
      <w:r>
        <w:t xml:space="preserve">贾康表示，开征物业税，不求一步到位，而应力求尽快搭好和推出基本制度框架，在方案设计上注重“渐进”。而“小产权房”、历史上形成的“经租房”等问题可以在配套改革中专门设计对策方案，渐进合理解决。</w:t>
      </w:r>
    </w:p>
    <w:p>
      <w:r>
        <w:t xml:space="preserve">他建议，有关部门应抓紧研究制定在我国开征物业税的方案，税种名称可规范地表述为“房地产税”，在税制设计方面，应与配套改革要求和房地产业强化政策理性、贯彻合理规划作通盘的匹配；实施初期，对一般的消费性住房不考虑实征，那些管理上很容易认定的独立别墅、豪华公寓则可先行实征，可考虑对一定面积以下的“居民第一套自用住房”实行永不实征。</w:t>
      </w:r>
    </w:p>
    <w:p>
      <w:r>
        <w:t xml:space="preserve">季怀银、贾康二人还阐释了对房地产保有环节征税的诸多积极作用，希望以此遏制地方政府的“土地财政”行为。</w:t>
      </w:r>
    </w:p>
    <w:p>
      <w:r>
        <w:t xml:space="preserve">纵观上述表态，不仅二者“宜早不宜迟”“渐进改革”等观点高度趋同，其中更有官方媒体的影子。此前，近期热络的物业税讨论大多散见于市场化媒体中。</w:t>
      </w:r>
    </w:p>
    <w:p>
      <w:r>
        <w:t xml:space="preserve">在国务院4月17日下发的《国务院关于坚决遏制部分城市房价过快上涨的通知》中，“发挥税收政策对住房消费和房地产收益的调节作用”成为重要手段。不过，相较2005年以来的历次楼市调控，此番税收政策并没有急切推出，而是“引而后发”。</w:t>
      </w:r>
    </w:p>
    <w:p>
      <w:r>
        <w:t xml:space="preserve">国务院要求财政部、税务总局加快研究制定引导个人合理住房消费和调节个人房产收益的税收政策。目前，尚未成型方案公诸于众。这成为此次楼市调控中最大的悬念，使得楼市股市闻声而动。</w:t>
      </w:r>
    </w:p>
    <w:p>
      <w:r>
        <w:t xml:space="preserve">受到上述官员表态及其他利空消息的影响，A股市场今日早盘大幅下跌，沪指一度失守2800点，早市收盘勉强夺回。</w:t>
      </w:r>
    </w:p>
    <w:p>
      <w:hyperlink r:id="rId41">
        <w:r>
          <w:rPr>
            <w:rStyle w:val="Link"/>
          </w:rPr>
          <w:t xml:space="preserve">来源：凤凰网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2">
        <w:r>
          <w:rPr>
            <w:rStyle w:val="Link"/>
          </w:rPr>
          <w:t xml:space="preserve">unsubscribe@charltonslaw.com</w:t>
        </w:r>
      </w:hyperlink>
    </w:p>
    <w:p>
      <w:r>
        <w:rPr>
          <w:b/>
        </w:rPr>
        <w:t xml:space="preserve">易周律师行 - 法讯 - 中国 - 第337期 - 2010年05月07日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075826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1" Target="http://house.ifeng.com/news/yaowen/detail_2010_05/06/1492465_0.shtml" TargetMode="External" /><Relationship Type="http://schemas.openxmlformats.org/officeDocument/2006/relationships/hyperlink" Id="rId33" Target="http://house.people.com.cn/GB/11518481.html" TargetMode="External" /><Relationship Type="http://schemas.openxmlformats.org/officeDocument/2006/relationships/hyperlink" Id="rId30" Target="http://money.163.com/10/0502/18/65MV4HLG00252G50.html" TargetMode="External" /><Relationship Type="http://schemas.openxmlformats.org/officeDocument/2006/relationships/hyperlink" Id="rId39" Target="http://news.qq.com/a/20100505/000170.htm" TargetMode="External" /><Relationship Type="http://schemas.openxmlformats.org/officeDocument/2006/relationships/hyperlink" Id="rId36" Target="http://sh.people.com.cn/GB/134780/141326/11545487.html" TargetMode="External" /><Relationship Type="http://schemas.openxmlformats.org/officeDocument/2006/relationships/hyperlink" Id="rId25" Target="http://www.022net.com/2010/5-5/426959152681011.html" TargetMode="External" /><Relationship Type="http://schemas.openxmlformats.org/officeDocument/2006/relationships/hyperlink" Id="rId21" Target="http://www.charltonslaw.com.cn/china-news-alerts-cn-issue-337/" TargetMode="External" /><Relationship Type="http://schemas.openxmlformats.org/officeDocument/2006/relationships/hyperlink" Id="rId27" Target="http://www.china.com.cn/economic/txt/2010-05/05/content_19969578.htm" TargetMode="External" /><Relationship Type="http://schemas.openxmlformats.org/officeDocument/2006/relationships/hyperlink" Id="rId4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41" Target="http://house.ifeng.com/news/yaowen/detail_2010_05/06/1492465_0.shtml" TargetMode="External" /><Relationship Type="http://schemas.openxmlformats.org/officeDocument/2006/relationships/hyperlink" Id="rId33" Target="http://house.people.com.cn/GB/11518481.html" TargetMode="External" /><Relationship Type="http://schemas.openxmlformats.org/officeDocument/2006/relationships/hyperlink" Id="rId30" Target="http://money.163.com/10/0502/18/65MV4HLG00252G50.html" TargetMode="External" /><Relationship Type="http://schemas.openxmlformats.org/officeDocument/2006/relationships/hyperlink" Id="rId39" Target="http://news.qq.com/a/20100505/000170.htm" TargetMode="External" /><Relationship Type="http://schemas.openxmlformats.org/officeDocument/2006/relationships/hyperlink" Id="rId36" Target="http://sh.people.com.cn/GB/134780/141326/11545487.html" TargetMode="External" /><Relationship Type="http://schemas.openxmlformats.org/officeDocument/2006/relationships/hyperlink" Id="rId25" Target="http://www.022net.com/2010/5-5/426959152681011.html" TargetMode="External" /><Relationship Type="http://schemas.openxmlformats.org/officeDocument/2006/relationships/hyperlink" Id="rId21" Target="http://www.charltonslaw.com.cn/china-news-alerts-cn-issue-337/" TargetMode="External" /><Relationship Type="http://schemas.openxmlformats.org/officeDocument/2006/relationships/hyperlink" Id="rId27" Target="http://www.china.com.cn/economic/txt/2010-05/05/content_19969578.htm" TargetMode="External" /><Relationship Type="http://schemas.openxmlformats.org/officeDocument/2006/relationships/hyperlink" Id="rId4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第337期 - 2010年05月07日</dc:title>
  <dc:creator/>
</cp:coreProperties>
</file>