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第338期</w:t>
      </w:r>
      <w:r>
        <w:t xml:space="preserve"> </w:t>
      </w:r>
      <w:r>
        <w:t xml:space="preserve">-</w:t>
      </w:r>
      <w:r>
        <w:t xml:space="preserve"> </w:t>
      </w:r>
      <w:r>
        <w:t xml:space="preserve">2010年05月14日</w:t>
      </w:r>
    </w:p>
    <w:p>
      <w:hyperlink r:id="rId21">
        <w:r>
          <w:rPr>
            <w:rStyle w:val="Link"/>
          </w:rPr>
          <w:t xml:space="preserve">网络版</w:t>
        </w:r>
      </w:hyperlink>
    </w:p>
    <w:p>
      <w:pPr>
        <w:pStyle w:val="Heading1"/>
      </w:pPr>
      <w:bookmarkStart w:id="22" w:name="法讯中国第338期"/>
      <w:bookmarkEnd w:id="22"/>
      <w:r>
        <w:t xml:space="preserve">法讯中国第338期</w:t>
      </w:r>
    </w:p>
    <w:p>
      <w:pPr>
        <w:pStyle w:val="Heading2"/>
      </w:pPr>
      <w:bookmarkStart w:id="23" w:name="资本市场-capital-markets"/>
      <w:bookmarkEnd w:id="23"/>
      <w:r>
        <w:t xml:space="preserve">资本市场 Capital Markets</w:t>
      </w:r>
    </w:p>
    <w:p>
      <w:pPr>
        <w:pStyle w:val="Heading3"/>
      </w:pPr>
      <w:bookmarkStart w:id="24" w:name="李剑阁股市大跌不影响农行上市"/>
      <w:bookmarkEnd w:id="24"/>
      <w:r>
        <w:t xml:space="preserve">李剑阁：股市大跌不影响农行上市</w:t>
      </w:r>
    </w:p>
    <w:p>
      <w:r>
        <w:t xml:space="preserve">中国国际金融有限公司董事长李剑阁8日对媒体记者表示：“股市大跌对农业银行上市时机不会有什么影响。”但他认为股市波动会影响国际板推出时机。</w:t>
      </w:r>
    </w:p>
    <w:p>
      <w:r>
        <w:t xml:space="preserve">李剑阁在“第六届中国金融改革高层论坛”上表示，目前中国证监会正在抓紧研究推出国际板，股市短期波动会影响国际板推出时机，但不会影响推出国际板的决心。</w:t>
      </w:r>
    </w:p>
    <w:p>
      <w:r>
        <w:t xml:space="preserve">李剑阁表示，国际板推出后要优先考虑红筹股的回归。现在几个红筹企业在紧锣密鼓地准备，一旦国际板启动，会回到国内市场。另外，包括汇丰控股以及一些美国、日本等地的企业也都表示想进入中国证券市场。</w:t>
      </w:r>
    </w:p>
    <w:p>
      <w:r>
        <w:t xml:space="preserve">“红筹股的回归会走在汇丰等外资企业的前面。因为红筹公司主要部门在中国境内，只是在境外注册，在红筹股回归后，外企再进来，更有利于市场平稳发展。”李剑阁表示，不担心国际板在刚推出时遭爆炒，因为在国际板刚推出时上市的应该主要是大盘股，遭到市场炒作的可能性很小。</w:t>
      </w:r>
    </w:p>
    <w:p>
      <w:r>
        <w:t xml:space="preserve">李剑阁认为，上海要建立国际金融中心有很多工作要做，但是资本市场的国际化显然是重中之重。目前上交所上市品种还比较单一，创立国际板是中国走向金融强国的必由之路。人民币没有实现完全可兑换不会成为国际板推出的障碍，其他相关会计、法律问题也可以解决。</w:t>
      </w:r>
    </w:p>
    <w:p>
      <w:r>
        <w:t xml:space="preserve">李剑阁说，如果我们创造条件推出国际板，有利于打造蓝筹市场，有利于丰富中国资本市场的投资产品。让海外企业到中国挂牌，让百姓的民间资金，甚至国家资金在国际板市场上购买股份，很可能更有利于保护中国境外资产的安全。</w:t>
      </w:r>
    </w:p>
    <w:p>
      <w:hyperlink r:id="rId25">
        <w:r>
          <w:rPr>
            <w:rStyle w:val="Link"/>
          </w:rPr>
          <w:t xml:space="preserve">来源：中国金融网</w:t>
        </w:r>
      </w:hyperlink>
    </w:p>
    <w:p>
      <w:pPr>
        <w:pStyle w:val="Heading3"/>
      </w:pPr>
      <w:bookmarkStart w:id="26" w:name="新华网等10家官办新闻网站将陆续上市"/>
      <w:bookmarkEnd w:id="26"/>
      <w:r>
        <w:t xml:space="preserve">新华网等10家官办新闻网站将陆续上市</w:t>
      </w:r>
    </w:p>
    <w:p>
      <w:r>
        <w:t xml:space="preserve">新华网、东方网等10家中国内地新闻网站将作为首批选定上市对象登陆A股。有消息指，“今年至少有1-2家能够成功上市”。</w:t>
      </w:r>
    </w:p>
    <w:p>
      <w:r>
        <w:t xml:space="preserve">中国内地媒体8日援引内部人士的消息报道，这10家新闻网站分别是央视网、人民网、新华网、千龙网、东方网、北方网、大众网、华声在线、浙江在线和四川在线。</w:t>
      </w:r>
    </w:p>
    <w:p>
      <w:r>
        <w:t xml:space="preserve">“中宣部与证监会正在积极推动此事，确保今年至少有1-2家能够成功上市。”华声在线相关负责人表示，目前，已经有几家中央网站的改制方案已获批，华声在线则已经提交了方案，正在等待批复。</w:t>
      </w:r>
    </w:p>
    <w:p>
      <w:r>
        <w:t xml:space="preserve">银河证券传媒行业分析师许耀文表示，东方网已经完成股份制改造，受此政策利好影响，可能成为国内“新闻网站第一股”。</w:t>
      </w:r>
    </w:p>
    <w:p>
      <w:r>
        <w:t xml:space="preserve">《上海证券报》报道说，据业内人士介绍，目前中国新闻网站的运营管理体制主要有三种：一是完全依附于母媒体，资金来源主要来自中央或地方财政以及母媒体的拨款，网站本身没有自主经营权；二是独立型的公司化运营体制，如千龙网、东方网等；三是“事业单位、企业化经营”体制，这也是当前大多数新闻网站的体制类型。</w:t>
      </w:r>
    </w:p>
    <w:p>
      <w:r>
        <w:t xml:space="preserve">分析人士指出，网站等新兴媒体一定会是文化产业发展的突破点之一。新兴媒体的传播力量将逐渐加强，其发展势在必行。</w:t>
      </w:r>
    </w:p>
    <w:p>
      <w:r>
        <w:t xml:space="preserve">统计数据显示，与2008年相比，2009年全国新闻出版业总产值增长20%左右，图书销售增长20%左右，而新媒体出版增长则高达42%左右，数字出版总产值达到750亿元人民币</w:t>
      </w:r>
    </w:p>
    <w:p>
      <w:hyperlink r:id="rId27">
        <w:r>
          <w:rPr>
            <w:rStyle w:val="Link"/>
          </w:rPr>
          <w:t xml:space="preserve">来源：网易</w:t>
        </w:r>
      </w:hyperlink>
    </w:p>
    <w:p>
      <w:pPr>
        <w:pStyle w:val="Heading2"/>
      </w:pPr>
      <w:bookmarkStart w:id="28" w:name="公司corporate"/>
      <w:bookmarkEnd w:id="28"/>
      <w:r>
        <w:t xml:space="preserve">公司Corporate</w:t>
      </w:r>
    </w:p>
    <w:p>
      <w:pPr>
        <w:pStyle w:val="Heading3"/>
      </w:pPr>
      <w:bookmarkStart w:id="29" w:name="民间资本获准进入石油等垄断行业"/>
      <w:bookmarkEnd w:id="29"/>
      <w:r>
        <w:t xml:space="preserve">民间资本获准进入石油等垄断行业</w:t>
      </w:r>
    </w:p>
    <w:p>
      <w:r>
        <w:t xml:space="preserve">国务院昨日发布《关于鼓励和引导民间投资健康发展的若干意见》（以下简称“新36条”），文件进一步拓宽民间投资的领域和范围。这是“非公36条”出台5年之后，对民营资本放开投资领域的又一个里程碑式政策。</w:t>
      </w:r>
    </w:p>
    <w:p>
      <w:pPr>
        <w:pStyle w:val="Heading4"/>
      </w:pPr>
      <w:bookmarkStart w:id="30" w:name="民资准入领域放宽"/>
      <w:bookmarkEnd w:id="30"/>
      <w:r>
        <w:t xml:space="preserve">民资准入领域放宽</w:t>
      </w:r>
    </w:p>
    <w:p>
      <w:r>
        <w:t xml:space="preserve">今年3月24日，温家宝总理主持召开国务院常务会议，研究部署进一步鼓励和引导民间投资健康发展的政策措施。该“新36条”即鼓励措施细则。</w:t>
      </w:r>
    </w:p>
    <w:p>
      <w:r>
        <w:t xml:space="preserve">与旧版“非公36条”相比，昨日出台的“新36条”第一次明确地把鼓励和引导民间资本进入政策性住房建设领域写入了文件。同时还鼓励和引导民间资本进入的领域还有市政公用事业以及石油、电信、航空、核电、铁路等垄断行业。</w:t>
      </w:r>
    </w:p>
    <w:p>
      <w:r>
        <w:t xml:space="preserve">北京科技大学经济管理学院教授赵晓认为，从大背景来看，中国到了必须改革的时间点，其中扩大民间资本的投资是重要一环。调控房地产是“戒毒品”，但地方政府要找到持续不断的税源，中国经济也要找到新的增长点，这就要求对房地产调控的同时，必须扶植民营企业。现在调控政策并不能解决根本性问题，所以要立即结束国进民退的趋势，大力发展民营企业，鼓励社会创新。</w:t>
      </w:r>
    </w:p>
    <w:p>
      <w:pPr>
        <w:pStyle w:val="Heading4"/>
      </w:pPr>
      <w:bookmarkStart w:id="31" w:name="专家称民资要堵更要疏"/>
      <w:bookmarkEnd w:id="31"/>
      <w:r>
        <w:t xml:space="preserve">专家称民资要“堵”更要“疏”</w:t>
      </w:r>
    </w:p>
    <w:p>
      <w:r>
        <w:t xml:space="preserve">金融危机以来，中国经济复苏主要靠政府主导的投资来拉动。业内人士认为，如果各方面的民间投资一直起不来，那势必造成过度依靠房地产的经济模式，并催生全民炒房和房地产泡沫隐忧。</w:t>
      </w:r>
    </w:p>
    <w:p>
      <w:r>
        <w:t xml:space="preserve">北京大学房地产研究所所长陈国强表示，“新36条”无疑对拓宽民间投资渠道有积极意义，在房地产调控的当下，充分调动民间投资的力量来代替对地产开发投资的过度依赖。</w:t>
      </w:r>
    </w:p>
    <w:p>
      <w:r>
        <w:t xml:space="preserve">赵晓昨日也表示，此前民间资本没有更多的投资领域，投向楼市就不可避免，调控政策对于民间资本不仅要“堵”，更要进行疏导，让民间资本进入更多领域。</w:t>
      </w:r>
    </w:p>
    <w:p>
      <w:r>
        <w:t xml:space="preserve">北京房地产业协会副秘书长陈志也表示，鼓励民间资本进入更多领域也是“疏导”的政策，否则民间资本就只能去炒大蒜、进房市投股市，有“堵”也就必须有“疏”。</w:t>
      </w:r>
    </w:p>
    <w:p>
      <w:pPr>
        <w:pStyle w:val="Heading4"/>
      </w:pPr>
      <w:bookmarkStart w:id="32" w:name="新政看点"/>
      <w:bookmarkEnd w:id="32"/>
      <w:r>
        <w:t xml:space="preserve">新政看点</w:t>
      </w:r>
    </w:p>
    <w:p>
      <w:pPr>
        <w:pStyle w:val="Heading5"/>
      </w:pPr>
      <w:bookmarkStart w:id="33" w:name="看点1-允许民资兴办金融机构"/>
      <w:bookmarkEnd w:id="33"/>
      <w:r>
        <w:t xml:space="preserve">看点1 允许民资兴办金融机构</w:t>
      </w:r>
    </w:p>
    <w:p>
      <w:r>
        <w:t xml:space="preserve">政策原文支持民间资本以入股方式参与商业银行的增资扩股，参与农村信用社、城市信用社的改制工作。鼓励民间资本发起或参与设立村镇银行、贷款公司、农村资金互助社等金融机构，放宽村镇银行或社区银行中法人银行最低出资比例的限制等。</w:t>
      </w:r>
    </w:p>
    <w:p>
      <w:r>
        <w:t xml:space="preserve">专家解读：中国人民大学金融与证券研究所副所长赵锡军表示，现在说支持民间资本以入股方式参与商业银行的增资扩股，实际上在《商业银行法》中从来没有对此限制。</w:t>
      </w:r>
    </w:p>
    <w:p>
      <w:r>
        <w:t xml:space="preserve">之所以民资参与商业银行存在门槛，是因为主要股东或控股股东大多是一些国有机构、大国企。商业银行在组建之初以国有资本为主，民间资本还没有成长到有实力和规模去参与。这么多年之后，民营力量发展壮大，规模上有能力投资金融机构，但是受到了这些惯性因素的阻碍，因此需要出台政策鼓励。</w:t>
      </w:r>
    </w:p>
    <w:p>
      <w:r>
        <w:t xml:space="preserve">对于民间资本来说，政策鼓励可以扩大他们的投资领域，对于商业银行来说能获得更广泛的投融资渠道。除了商业银行，此次还出台了系列鼓励进入金融领域的措施，这些措施是鼓励和支持，而非约束性的行政命令。</w:t>
      </w:r>
    </w:p>
    <w:p>
      <w:pPr>
        <w:pStyle w:val="Heading5"/>
      </w:pPr>
      <w:bookmarkStart w:id="34" w:name="看点2-首次鼓励民资建政策性住房"/>
      <w:bookmarkEnd w:id="34"/>
      <w:r>
        <w:t xml:space="preserve">看点2 首次鼓励民资建政策性住房</w:t>
      </w:r>
    </w:p>
    <w:p>
      <w:r>
        <w:t xml:space="preserve">政策原文支持和引导民间资本投资建设经济适用住房、公共租赁住房等政策性住房，参与棚户区改造，享受相应的政策性住房建设政策。</w:t>
      </w:r>
    </w:p>
    <w:p>
      <w:r>
        <w:t xml:space="preserve">专家解读：北京房地产业协会副秘书长陈志表示，政策出台仍需要明确的细则进行保障。他介绍说，现在政策性住房建设的主体都是一些国有企业，而政策性住房需求量很大，也需要各种其他类型的资金进入来扩大规模。</w:t>
      </w:r>
    </w:p>
    <w:p>
      <w:r>
        <w:t xml:space="preserve">“新36条”鼓励民资进入，但在实际操作中政策要细化，比如民间资本进入后，如何规避风险的问题。很多政策性住房都限定了销售价格，刨去地价不说，建材价格也会波动，那么如何保障民间资本的利润？政策性住房有时无人选购，就可能无法回本，这种结构性的风险谁来承担？另外，民间资本以什么样的身份进入？是开发商还是什么？陈志建议，民营企业可以提供劳务和资金，项目完成后收取劳务费和高于银行的利息，这样能规避民间资本进入的风险，增加进入的积极性。</w:t>
      </w:r>
    </w:p>
    <w:p>
      <w:pPr>
        <w:pStyle w:val="Heading5"/>
      </w:pPr>
      <w:bookmarkStart w:id="35" w:name="看点3-鼓励民资参与石油领域"/>
      <w:bookmarkEnd w:id="35"/>
      <w:r>
        <w:t xml:space="preserve">看点3 鼓励民资参与石油领域</w:t>
      </w:r>
    </w:p>
    <w:p>
      <w:r>
        <w:t xml:space="preserve">政策原文支持民间资本进入油气勘探开发领域，与国有石油企业合作开展油气勘探开发。支持民间资本参股建设原油、天然气、成品油的储运和管道输送设施及网络。</w:t>
      </w:r>
    </w:p>
    <w:p>
      <w:r>
        <w:t xml:space="preserve">专家解读：能源研究专家管清友昨日表示，让民间资本进入石油天然气领域是迟早的事。此次出台也是为了让能源领域多增加一些市场主体，进行市场化的竞争，推动能源行业的发展。此外，这也有利于推动能源领域国有企业改革。</w:t>
      </w:r>
    </w:p>
    <w:p>
      <w:r>
        <w:t xml:space="preserve">关于政策如何落实到位，管清友表示，只要国家的政策有力度，市场进行调整是没有问题的。他表示，石油天然气是个特殊行业，太重要太基础，政策在放开过程要考虑各方面的因素，因此也有人会有不同的意见。他认为，我国的石油安全光靠“三大家”，对于他们压力也是很大的，如果鼓励民营企业进入，让“三大家”“走出去”获得投资、贸易等，也可以增加我国的石油安全。</w:t>
      </w:r>
    </w:p>
    <w:p>
      <w:hyperlink r:id="rId36">
        <w:r>
          <w:rPr>
            <w:rStyle w:val="Link"/>
          </w:rPr>
          <w:t xml:space="preserve">来源：人民网</w:t>
        </w:r>
      </w:hyperlink>
    </w:p>
    <w:p>
      <w:pPr>
        <w:pStyle w:val="Heading3"/>
      </w:pPr>
      <w:bookmarkStart w:id="37" w:name="工商总局支持外商投资企业以债权增资"/>
      <w:bookmarkEnd w:id="37"/>
      <w:r>
        <w:t xml:space="preserve">工商总局：支持外商投资企业以债权增资</w:t>
      </w:r>
    </w:p>
    <w:p>
      <w:r>
        <w:t xml:space="preserve">国家工商行政管理总局13日出台意见，提出26条政策措施鼓励外商增加投资。</w:t>
      </w:r>
    </w:p>
    <w:p>
      <w:r>
        <w:t xml:space="preserve">意见指出，积极研究外商投资企业债权出资管理办法，支持外商投资企业以债权增资；外商自然人可以在国内开设合伙企业；注册资本达到3000万元的外资企业，从事现代服务业和高新技术产业的，可以在名称中间使用“（中国）”字样。此前有关规定要求不少于5000万元。</w:t>
      </w:r>
    </w:p>
    <w:p>
      <w:r>
        <w:t xml:space="preserve">为鼓励外商增加投资总量，扩大投资规模，优化投资结构，这个题名为《关于充分发挥工商行政管理职能作用进一步做好服务外商投资企业发展工作的若干意见》的文件，在企业名称核准、企业集团组建、营业性分支机构设立、债权出资、依法延长出资期限、支持东部地区外商投资企业向中西部地区转移等方面都提出了更加有力的措施。</w:t>
      </w:r>
    </w:p>
    <w:p>
      <w:r>
        <w:t xml:space="preserve">意见指出，将积极支持外商投资企业集团化经营，鼓励外商投资举办的投资性公司申请组建企业集团。积极支持外商投资企业以债权增资，规范出资行为。积极鼓励具有先进技术和管理经验的外国企业或者个人在中国境内设立合伙企业，增加外商投资企业类型。</w:t>
      </w:r>
    </w:p>
    <w:p>
      <w:r>
        <w:t xml:space="preserve">分析人士指出，外商自然人可以在国内开设合伙企业，解决了边境经济合作区一些外商投资个人和小型企业的身份问题，将对边境经济合作区发展产生促进作用。</w:t>
      </w:r>
    </w:p>
    <w:p>
      <w:hyperlink r:id="rId38">
        <w:r>
          <w:rPr>
            <w:rStyle w:val="Link"/>
          </w:rPr>
          <w:t xml:space="preserve">来源：全景网</w:t>
        </w:r>
      </w:hyperlink>
    </w:p>
    <w:p>
      <w:pPr>
        <w:pStyle w:val="Heading3"/>
      </w:pPr>
      <w:bookmarkStart w:id="39" w:name="电子书将设准入门槛-终端生产内容下载受限"/>
      <w:bookmarkEnd w:id="39"/>
      <w:r>
        <w:t xml:space="preserve">电子书将设准入门槛 终端生产、内容下载受限</w:t>
      </w:r>
    </w:p>
    <w:p>
      <w:r>
        <w:t xml:space="preserve">当下最热门的IT产品可以说非电子书莫属了。面对空前的产业热情，相关部门正在筹划设立电子书数字出版准入制度，对终端的生产与内容的下载等设立门槛。</w:t>
      </w:r>
    </w:p>
    <w:p>
      <w:r>
        <w:t xml:space="preserve">在昨天举行的“书报刊数字化发展高峰论坛”上，新闻出版总署科技与数字出版司司长张毅君在会上表示，将建立针对电子书数字出版的相关准入制度，正在研究制定预装数字内容电子阅读器生产以及提供数字内容下载的准入机制。</w:t>
      </w:r>
    </w:p>
    <w:p>
      <w:r>
        <w:t xml:space="preserve">目前电子书存在违规使用内容，著作人权益无法得到保护，准入门槛模糊，一些预装内容版权不明，提供违规内容下载服务等问题。而据汉王科技董事长刘迎建透露，这个门槛将会令电子书的生产门槛“适度抬高”。</w:t>
      </w:r>
    </w:p>
    <w:p>
      <w:r>
        <w:t xml:space="preserve">“几乎所有的IT厂商都想进入电子书领域，相关部委担忧一哄而上、一哄而散。”刘迎建指出，这种盲目而狂热的投资去年曾在上网本上出现过，而现在这个概念正在悄悄陨落。</w:t>
      </w:r>
    </w:p>
    <w:p>
      <w:r>
        <w:t xml:space="preserve">汉王是国内电子阅读器行业的先行军，并为旗下产品定名为电纸书，目前是国内市场的老大。在汉王去年炒热这一概念后，已有上百家企业宣布推出电子阅读器。与此同时，大量的山寨军团也蜂拥而上。刘迎建表示，对这一行业应该冷静看待，并不是谁想进来就可以进来的。在他看来，大部分企业可能面对亏损的后果。</w:t>
      </w:r>
    </w:p>
    <w:p>
      <w:r>
        <w:t xml:space="preserve">刘迎建认为，电子书降价的速度将比手机还要快，未来3至5年内，普通消费者买电子书时可能不会有什么犹豫。目前汉王电纸书价格从1300元至3300元不等。</w:t>
      </w:r>
    </w:p>
    <w:p>
      <w:hyperlink r:id="rId40">
        <w:r>
          <w:rPr>
            <w:rStyle w:val="Link"/>
          </w:rPr>
          <w:t xml:space="preserve">来源：中国日报</w:t>
        </w:r>
      </w:hyperlink>
    </w:p>
    <w:p>
      <w:pPr>
        <w:pStyle w:val="Heading3"/>
      </w:pPr>
      <w:bookmarkStart w:id="41" w:name="国资委抑央企出海冲动-参与海外并购对象选择"/>
      <w:bookmarkEnd w:id="41"/>
      <w:r>
        <w:t xml:space="preserve">国资委抑央企"出海"冲动 参与海外并购对象选择</w:t>
      </w:r>
    </w:p>
    <w:p>
      <w:r>
        <w:t xml:space="preserve">遏制企业投资冲动、将企业投资规模严格控制在合理负债率内、参与对外并购对象的选择与确定 针对央企海外并购的“你追我赶”，特别是非主业并购带来的隐忧，国资委终于出手，不仅将翻查过去5年的“旧账”帮助央企分析此前并购的得失，更将对央企海外并购进行全程监管。</w:t>
      </w:r>
    </w:p>
    <w:p>
      <w:r>
        <w:t xml:space="preserve">昨日，国资委下发《关于开展中央企业对外并购事项专项检查的通知》（以下简称《通知》），即日起至8月，统计调查2004年-2009年中央企业及其子企业对外并购情况，检查的重点涉及企业对外并购战略和方向、决策程序合规性、企业资产评估的规范性和收购价格的合理性等。国资委监事会工作局相关负责人表示，此举旨在进一步规范、推动央企并购行为，加强风险管控。</w:t>
      </w:r>
    </w:p>
    <w:p>
      <w:pPr>
        <w:pStyle w:val="Heading4"/>
      </w:pPr>
      <w:bookmarkStart w:id="42" w:name="并购成本增加-央企东张西望"/>
      <w:bookmarkEnd w:id="42"/>
      <w:r>
        <w:t xml:space="preserve">并购成本增加 央企“东张西望”</w:t>
      </w:r>
    </w:p>
    <w:p>
      <w:pPr>
        <w:pStyle w:val="Heading5"/>
      </w:pPr>
      <w:bookmarkStart w:id="43" w:name="国资委出手遏制投资冲动"/>
      <w:bookmarkEnd w:id="43"/>
      <w:r>
        <w:t xml:space="preserve">国资委出手遏制投资冲动</w:t>
      </w:r>
    </w:p>
    <w:p>
      <w:r>
        <w:t xml:space="preserve">国资委此番出手，海外并购环境的变化是一个重要原因。2009年，在金融危机仍在蔓延的形势下，中国企业成为全球并购市场的亮点，特别是资源类国企，抓住了海外资源价格下跌的良机。来自清科研究中心的统计数据显示：在能源和矿产两个行业共完成14起海外并购交易，金额达到156.63亿美元，占我国海外并购总额的97.2%。但是，世易时移，当前世界经济逐步复苏，大宗商品价格不断上涨，海外资源性公司的财务状况有所改观，估值也相应升高，企业进行海外并购的成本随之增加。</w:t>
      </w:r>
    </w:p>
    <w:p>
      <w:r>
        <w:t xml:space="preserve">同时，在海外并购中，部分央企偏离主业发展，进入新领域跑马圈地也引发了诸多争议。对此，国资委主任李荣融直言，央企不要“东张西望”，国资委将加大对企业非主业投资的监管力度，遏制企业投资冲动和盲目投资的倾向。国资委规划发展局局长王晓齐则指出，“一些企业看到其他企业的业务领域效益来得容易，就不专注于主业发展，特别是近几年效益好了，加上上市、发债募集到一些资金，开始头脑发热，开展和主业不相干的业务，还美其名曰转型”。</w:t>
      </w:r>
    </w:p>
    <w:p>
      <w:pPr>
        <w:pStyle w:val="Heading4"/>
      </w:pPr>
      <w:bookmarkStart w:id="44" w:name="海外投资多亏损-债务风险加大"/>
      <w:bookmarkEnd w:id="44"/>
      <w:r>
        <w:t xml:space="preserve">海外投资多亏损 债务风险加大</w:t>
      </w:r>
    </w:p>
    <w:p>
      <w:pPr>
        <w:pStyle w:val="Heading5"/>
      </w:pPr>
      <w:bookmarkStart w:id="45" w:name="国资委投资须在合理负债率内"/>
      <w:bookmarkEnd w:id="45"/>
      <w:r>
        <w:t xml:space="preserve">国资委：投资须在合理负债率内</w:t>
      </w:r>
    </w:p>
    <w:p>
      <w:r>
        <w:t xml:space="preserve">王晓齐表示，尽管去年我国企业特别是央企成为全球并购市场的黑马，但随之而来的则是，个别企业投资活动超过承受能力，项目投资多依靠贷款，甚至是一些短期债券，资产负债率持续上升，债务风险不断加大。</w:t>
      </w:r>
    </w:p>
    <w:p>
      <w:r>
        <w:t xml:space="preserve">不仅如此，由于对非主业投资不熟悉等诸多原因，来自国资委的统计显示，近年来中国企业海外投资多告亏损，其中2004年中石油竞购俄罗斯尤甘斯克石油天然气公司无功而返；两拓合并失败，中铝公司的80亿美元亏损无可挽回</w:t>
      </w:r>
    </w:p>
    <w:p>
      <w:r>
        <w:t xml:space="preserve">对此，国资委在《通知》中明确表示，未来将增加对企业资产负债率的关注，加强对高负债率企业投资活动的监管，将企业投资规模严格控制在合理负债率之内。</w:t>
      </w:r>
    </w:p>
    <w:p>
      <w:r>
        <w:t xml:space="preserve">此外，国资委还将对被并购企业并购后的运行状况进行检查，其中包括被并购企业是否因大量低价无效资产导致资产质量差、严重不实；是否存在资产负债率居高不下，甚至严重资不抵债；是否存在盈利水平低下，甚至经营亏损严重、持续发展无望等问题，据此分析对外并购风险，评价并购成效。</w:t>
      </w:r>
    </w:p>
    <w:p>
      <w:pPr>
        <w:pStyle w:val="Heading4"/>
      </w:pPr>
      <w:bookmarkStart w:id="46" w:name="并购风险多样-央企直面戒心"/>
      <w:bookmarkEnd w:id="46"/>
      <w:r>
        <w:t xml:space="preserve">并购风险多样 央企直面“戒心”</w:t>
      </w:r>
    </w:p>
    <w:p>
      <w:pPr>
        <w:pStyle w:val="Heading5"/>
      </w:pPr>
      <w:bookmarkStart w:id="47" w:name="国资委将参与并购对象选择"/>
      <w:bookmarkEnd w:id="47"/>
      <w:r>
        <w:t xml:space="preserve">国资委将参与并购对象选择</w:t>
      </w:r>
    </w:p>
    <w:p>
      <w:r>
        <w:t xml:space="preserve">除了高负债率、非主业运行可能带来的风险，如何解决观念上的“鸿沟”也成为摆在央企海外并购面前的一道难题。</w:t>
      </w:r>
    </w:p>
    <w:p>
      <w:r>
        <w:t xml:space="preserve">“一些海外收购项目的失败，很大程度上不是因为我们没有足够的资金，而是存在治理风险，包括契约意识、违规与合规的风险、利益相关者的风险等，中铝收购力拓失败就是最好的例子。”在天元律师事务所合伙人刘艳看来，对于海外并购，我国企业特别是央企要面对的不仅是投资风险，更有治理风险以及被并购方对央企特有的戒心，对合作有所顾虑。</w:t>
      </w:r>
    </w:p>
    <w:p>
      <w:r>
        <w:t xml:space="preserve">中铝和力拓原本在去年2月12日达成战略合作协议，中铝将投资195亿美元给力拓，然而随着金融市场回暖，以及必和必拓的“插足”，力拓撕毁了与中铝的协议，让中铝之前的努力化为乌有。</w:t>
      </w:r>
    </w:p>
    <w:p>
      <w:r>
        <w:t xml:space="preserve">对此， 国资委在《通知》中明确表示，将参与央企对外并购对象的选择与确定过程，研究可行性研究报告论证的充分性，考察央企是否开展详尽的尽职调查、清产核资和财务审计的合法合规性，尤其关注非主业并购和境外并购活动是否按规定报国资委审核或备案，对外并购合同或协议的完整性和合法合规性等。</w:t>
      </w:r>
    </w:p>
    <w:p>
      <w:r>
        <w:t xml:space="preserve">此外，对于此前在央企海外并购中出现的多家央企竞标同一项目抬高价格的现象，国资委监事工作局相关负责人表示，应以先进入的为主，央企之间不得进行不正当竞争，如果境外投资活动中涉及非主业项目，必须在国内寻找合作伙伴，共同开展项目相关工作。</w:t>
      </w:r>
    </w:p>
    <w:p>
      <w:hyperlink r:id="rId48">
        <w:r>
          <w:rPr>
            <w:rStyle w:val="Link"/>
          </w:rPr>
          <w:t xml:space="preserve">来源：网易</w:t>
        </w:r>
      </w:hyperlink>
    </w:p>
    <w:p>
      <w:pPr>
        <w:pStyle w:val="Heading2"/>
      </w:pPr>
      <w:bookmarkStart w:id="49" w:name="其他-other"/>
      <w:bookmarkEnd w:id="49"/>
      <w:r>
        <w:t xml:space="preserve">其他 Other</w:t>
      </w:r>
    </w:p>
    <w:p>
      <w:pPr>
        <w:pStyle w:val="Heading3"/>
      </w:pPr>
      <w:bookmarkStart w:id="50" w:name="上海楼市调控细则近日出台-房产税征收亦将启动"/>
      <w:bookmarkEnd w:id="50"/>
      <w:r>
        <w:t xml:space="preserve">上海楼市调控细则近日出台 房产税征收亦将启动</w:t>
      </w:r>
    </w:p>
    <w:p>
      <w:r>
        <w:t xml:space="preserve">地方楼市调控细则的最大谜底将于近日揭晓。上海证券报独家获悉,上海日前召开有各区政府和相关主管部门领导参加的通气会,紧锣密鼓地讨论上海楼市调控细则,其中包括房产税征收办法。细则最快将在本月公布,而上海旨在对住房保有环节征税的房产税征收也将在细则出台后正式启动。</w:t>
      </w:r>
    </w:p>
    <w:p>
      <w:r>
        <w:t xml:space="preserve">此前,本报独家报道上海拟对住房保有环节征税,达到类似物业税的调控效果。上海市住房保障和房屋管理局发言人未否认这一消息,并回应称“在房产保有阶段征税,将由国家层面定,地方应贯彻执行好。”</w:t>
      </w:r>
    </w:p>
    <w:p>
      <w:r>
        <w:t xml:space="preserve">一位接近上海市政府的人士近日透露,为尽快实现对住房保有环节征税,上海最终选定的方案是应用现有的房产税概念,以减少立法审批流程。根据现有的房产税暂行条例,房产税征收对象是经营性物业,而此次上海方案将把持有多套住宅解释为经营行为。</w:t>
      </w:r>
    </w:p>
    <w:p>
      <w:r>
        <w:t xml:space="preserve">据了解,已经形成的初步草案中,家庭人均面积是判定是否征收房产税的重要依据。如果符合征税条件,需按年支付相当于房产值8％。的房产税。计税基础为评估价而非房产成交价。另外,对于已经出租的住房,并按时缴纳了房产税的购房者,将考虑不再重复计税。</w:t>
      </w:r>
    </w:p>
    <w:p>
      <w:r>
        <w:t xml:space="preserve">“但目前得到的消息仍然只是草案内容,最终出台的细则不排除有局部调整的可能。”知情人士称。</w:t>
      </w:r>
    </w:p>
    <w:p>
      <w:r>
        <w:t xml:space="preserve">上海将率先开征保有环节税的消息一直是楼市投资的重要风向标。昨天,有媒体报道,来自国土资源部的调研报告建言,上海应采取政策组合拳,加大房地产持有环节成本,遏制投机需求。种种迹象相互印证,业内称上海开征保有环节税已成大势。但上海新的征税办法是否需要有中央统一口径在先,或与北京等其他城市一并试行,目前仍未可知。</w:t>
      </w:r>
    </w:p>
    <w:p>
      <w:r>
        <w:t xml:space="preserve">一个肯定的消息是,上海部分房企高层已经接到有关税收政策的“短信提醒”,并酝酿快速消化存量房源。楼市降价趋势将更加明显。</w:t>
      </w:r>
    </w:p>
    <w:p>
      <w:hyperlink r:id="rId51">
        <w:r>
          <w:rPr>
            <w:rStyle w:val="Link"/>
          </w:rPr>
          <w:t xml:space="preserve">来源：上海热线</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52">
        <w:r>
          <w:rPr>
            <w:rStyle w:val="Link"/>
          </w:rPr>
          <w:t xml:space="preserve">unsubscribe@charltonslaw.com</w:t>
        </w:r>
      </w:hyperlink>
    </w:p>
    <w:p>
      <w:r>
        <w:rPr>
          <w:b/>
        </w:rPr>
        <w:t xml:space="preserve">易周律师行 - 法讯 - 中国 - 第338期 - 2010年05月14日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234b9d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finance.people.com.cn/GB/11593598.html" TargetMode="External" /><Relationship Type="http://schemas.openxmlformats.org/officeDocument/2006/relationships/hyperlink" Id="rId27" Target="http://news.163.com/10/0509/00/6671S2GD000146BD.html" TargetMode="External" /><Relationship Type="http://schemas.openxmlformats.org/officeDocument/2006/relationships/hyperlink" Id="rId48" Target="http://news.163.com/10/0511/08/66CV35RE000146BD.html" TargetMode="External" /><Relationship Type="http://schemas.openxmlformats.org/officeDocument/2006/relationships/hyperlink" Id="rId25" Target="http://news.zgjrw.com/News/2010510/News/526809420310.shtml" TargetMode="External" /><Relationship Type="http://schemas.openxmlformats.org/officeDocument/2006/relationships/hyperlink" Id="rId51" Target="http://rich.online.sh.cn/rich/gb/content/2010-05/12/content_3479959.htm" TargetMode="External" /><Relationship Type="http://schemas.openxmlformats.org/officeDocument/2006/relationships/hyperlink" Id="rId21" Target="http://www.charltonslaw.com.cn/china-news-alerts-cn-issue-338/" TargetMode="External" /><Relationship Type="http://schemas.openxmlformats.org/officeDocument/2006/relationships/hyperlink" Id="rId40" Target="http://www.chinadaily.com.cn/hqcj/zxqxb/2010-05-11/content_291718.html" TargetMode="External" /><Relationship Type="http://schemas.openxmlformats.org/officeDocument/2006/relationships/hyperlink" Id="rId38" Target="http://www.p5w.net/news/gncj/201005/t2977072.htm" TargetMode="External" /><Relationship Type="http://schemas.openxmlformats.org/officeDocument/2006/relationships/hyperlink" Id="rId5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6" Target="http://finance.people.com.cn/GB/11593598.html" TargetMode="External" /><Relationship Type="http://schemas.openxmlformats.org/officeDocument/2006/relationships/hyperlink" Id="rId27" Target="http://news.163.com/10/0509/00/6671S2GD000146BD.html" TargetMode="External" /><Relationship Type="http://schemas.openxmlformats.org/officeDocument/2006/relationships/hyperlink" Id="rId48" Target="http://news.163.com/10/0511/08/66CV35RE000146BD.html" TargetMode="External" /><Relationship Type="http://schemas.openxmlformats.org/officeDocument/2006/relationships/hyperlink" Id="rId25" Target="http://news.zgjrw.com/News/2010510/News/526809420310.shtml" TargetMode="External" /><Relationship Type="http://schemas.openxmlformats.org/officeDocument/2006/relationships/hyperlink" Id="rId51" Target="http://rich.online.sh.cn/rich/gb/content/2010-05/12/content_3479959.htm" TargetMode="External" /><Relationship Type="http://schemas.openxmlformats.org/officeDocument/2006/relationships/hyperlink" Id="rId21" Target="http://www.charltonslaw.com.cn/china-news-alerts-cn-issue-338/" TargetMode="External" /><Relationship Type="http://schemas.openxmlformats.org/officeDocument/2006/relationships/hyperlink" Id="rId40" Target="http://www.chinadaily.com.cn/hqcj/zxqxb/2010-05-11/content_291718.html" TargetMode="External" /><Relationship Type="http://schemas.openxmlformats.org/officeDocument/2006/relationships/hyperlink" Id="rId38" Target="http://www.p5w.net/news/gncj/201005/t2977072.htm" TargetMode="External" /><Relationship Type="http://schemas.openxmlformats.org/officeDocument/2006/relationships/hyperlink" Id="rId5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第338期 - 2010年05月14日</dc:title>
  <dc:creator/>
</cp:coreProperties>
</file>