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第340期</w:t>
      </w:r>
      <w:r>
        <w:t xml:space="preserve"> </w:t>
      </w:r>
      <w:r>
        <w:t xml:space="preserve">-</w:t>
      </w:r>
      <w:r>
        <w:t xml:space="preserve"> </w:t>
      </w:r>
      <w:r>
        <w:t xml:space="preserve">2010年05月31日</w:t>
      </w:r>
    </w:p>
    <w:p>
      <w:hyperlink r:id="rId21">
        <w:r>
          <w:rPr>
            <w:rStyle w:val="Link"/>
          </w:rPr>
          <w:t xml:space="preserve">网络版</w:t>
        </w:r>
      </w:hyperlink>
    </w:p>
    <w:p>
      <w:pPr>
        <w:pStyle w:val="Heading1"/>
      </w:pPr>
      <w:bookmarkStart w:id="22" w:name="法讯中国第340期"/>
      <w:bookmarkEnd w:id="22"/>
      <w:r>
        <w:t xml:space="preserve">法讯中国第340期</w:t>
      </w:r>
    </w:p>
    <w:p>
      <w:pPr>
        <w:pStyle w:val="Heading2"/>
      </w:pPr>
      <w:bookmarkStart w:id="23" w:name="资本市场-capital-markets"/>
      <w:bookmarkEnd w:id="23"/>
      <w:r>
        <w:t xml:space="preserve">资本市场 Capital Markets</w:t>
      </w:r>
    </w:p>
    <w:p>
      <w:pPr>
        <w:pStyle w:val="Heading3"/>
      </w:pPr>
      <w:bookmarkStart w:id="24" w:name="保监会上调险资投资股票和基金比例上限"/>
      <w:bookmarkEnd w:id="24"/>
      <w:r>
        <w:t xml:space="preserve">保监会上调险资投资股票和基金比例上限</w:t>
      </w:r>
    </w:p>
    <w:p>
      <w:r>
        <w:t xml:space="preserve">消息人士透露，保监会相关部门26日召开会议讨论调整保险资金投资政策，这是自上周以来召开的第三次专门会议。保险资金投资政策调整内容将主要包括：股票和基金投资占比上调为不超过25%；债权计划投资比例上调为10%；有担保债券信用评级从AA调整为A，总额不再限制；无担保债券投资比例不变，但增加在港发行的债券品种；为加强流动性管理，活期存款、国债、央票、政策性银行债、货币市场基金等流动性资产的比例调整为5%。</w:t>
      </w:r>
    </w:p>
    <w:p>
      <w:r>
        <w:t xml:space="preserve">消息人士还透露，保监会酝酿对保险资金投资基础设施债权计划做出调整，扩大债权计划设立主体范围，降低保险公司投资债权计划门槛。保监会未来将逐步扩大基建债权计划等凭证类投资品种，明年还将对《保险机构投资者债券投资管理暂行办法》做出较大修改。</w:t>
      </w:r>
    </w:p>
    <w:p>
      <w:r>
        <w:t xml:space="preserve">权益类投资方面，保监会此前规定股票和基金投资合计不超过公司总资产的20%，现拟上调为25%；股票与股票型基金投资余额调整为20%，合计考虑，不再单独针对股票及股票型基金设限；单一股票的投资比例上限为上市公司总股本的10%，不超过保险公司上季末总资产的1%；超过上市公司总股本10%和保险公司上季末总资产1%的，需另外报批；投资锁定期超过3个月的余额，不超过可投资股票资产的30%。</w:t>
      </w:r>
    </w:p>
    <w:p>
      <w:r>
        <w:t xml:space="preserve">港股方面，投资范围拟从此前的红筹股和H股扩大至港股主板；投资比例维持公司上季末总资产15%比例不变，且统一计算境内外股票和债券等资产比例；投资同一交易对手及关联企业的资产余额，合计不超过该保险公司上季末总资产的20%，且不超过同一交易对手及关联企业最近一个会计年度合并净资产的50%。</w:t>
      </w:r>
    </w:p>
    <w:p>
      <w:r>
        <w:t xml:space="preserve">(债券方面，有担保债券信用评级从AA调整为A，总额不再限制，保险公司可自主确定。投资同一期品种的份额，不超过该期发行品种份额的20%，余额不超过该保险机构上季末总资产的2%。</w:t>
      </w:r>
    </w:p>
    <w:p>
      <w:r>
        <w:t xml:space="preserve">无担保债券品种增加了境外部分，包括恒生成分指数股、H股、红筹股以及大型国企在香港公开发行的债券。无担保债券信用评级方面，国内债券不低于AA的标准，国际债券不低于BBB。</w:t>
      </w:r>
    </w:p>
    <w:p>
      <w:r>
        <w:t xml:space="preserve">债权投资计划方面，投资比例由原来寿险公司不超过上季末总资产的6%、财险公司不超过上季末总资产的4%统一上调为10%。</w:t>
      </w:r>
    </w:p>
    <w:p>
      <w:r>
        <w:t xml:space="preserve">此前，保险公司可投资债权投资计划发行主体只能是保险资产管理公司、信托公司等专业管理机构，现在这一主体范围将扩大为相关财务指标达到相近上市公司的国有重点企业。此前，保险公司投资债权投资计划还需有相应的人才储备，需“满足从事固定收益投资的人员不少于5人，其中具有5年以上债券投资经验和相关专业资质的中级以上管理人员不少于1人，具有3年以上债券投资经验的人员不少于2人，并指定专门人员负责债权投资计划的投资管理；信用风险管理及内部信用评级能力达到监管规定的标准”的条件，现在这一标准拟删除。</w:t>
      </w:r>
    </w:p>
    <w:p>
      <w:hyperlink r:id="rId25">
        <w:r>
          <w:rPr>
            <w:rStyle w:val="Link"/>
          </w:rPr>
          <w:t xml:space="preserve">来源：凤凰网</w:t>
        </w:r>
      </w:hyperlink>
    </w:p>
    <w:p>
      <w:pPr>
        <w:pStyle w:val="Heading3"/>
      </w:pPr>
      <w:bookmarkStart w:id="26" w:name="摩根士丹利一年来首度建议减持现金-看好中国股票"/>
      <w:bookmarkEnd w:id="26"/>
      <w:r>
        <w:t xml:space="preserve">摩根士丹利一年来首度建议减持现金 看好中国股票</w:t>
      </w:r>
    </w:p>
    <w:p>
      <w:r>
        <w:t xml:space="preserve">恒基地产(00012)主席李兆基昨直言市况波动，他亦难以看通后市，但认为只要没再出现大型金融风暴，恒指在目前的19000点水平左右会有支持。李兆基透露，在恒指处于20000至23000点期间，已分两至三次沽出部分持股;尽管目前港股已跌至低于20000点，惟暂时不打算入货。</w:t>
      </w:r>
    </w:p>
    <w:p>
      <w:r>
        <w:t xml:space="preserve">摩根士丹利的亚洲新兴市场投资组合中，自去年6月以来，首度建议减持现金，增加区内的股票比重，维持中国市场「重磅」看法。港股主板成交727亿元，较周二增48亿元。憧憬保险资金投放股市限制获放宽，中资金融股造好靠稳，国企指数升287点，收报11016点，跑赢大市。</w:t>
      </w:r>
    </w:p>
    <w:p>
      <w:r>
        <w:t xml:space="preserve">5月期指明天结算，昨成交11.1万张后，市场仍有约5.3万张未平仓合约，或为今日市况增波动。值得留意的是，即月及下月期指的公平值差距，昨有扩阔现象，高于理论期货的相差，反映不少投资者仍看淡下月走势，将淡仓换仓至下月。</w:t>
      </w:r>
    </w:p>
    <w:p>
      <w:r>
        <w:t xml:space="preserve">欧洲债务危机令市场对美元需求大增，港息随美息抽升。以1个月本港银行同业拆息为例，在本月3日定价为0.08929厘，昨升至0.17821厘，长息升幅更明显;1、6及12个月伦敦银行同业拆息，较港息高出200至500点子(100点子等于1厘)，市场指将加强市场套息活动，未来港息有机会再上升。</w:t>
      </w:r>
    </w:p>
    <w:p>
      <w:r>
        <w:t xml:space="preserve">MSCI中国指数成分股重列昨生效，「新贵」龙湖地产(00960)、理文造纸(02314)收市前升幅大幅收窄，其它增磅的成分股如恒安(01044)、国美电器(00493)及国药(01099)却突然跳升，收市皆升逾1成。</w:t>
      </w:r>
    </w:p>
    <w:p>
      <w:hyperlink r:id="rId27">
        <w:r>
          <w:rPr>
            <w:rStyle w:val="Link"/>
          </w:rPr>
          <w:t xml:space="preserve">来源：港股吧</w:t>
        </w:r>
      </w:hyperlink>
    </w:p>
    <w:p>
      <w:pPr>
        <w:pStyle w:val="Heading3"/>
      </w:pPr>
      <w:bookmarkStart w:id="28" w:name="数万拉卡族轻松玩转信用卡"/>
      <w:bookmarkEnd w:id="28"/>
      <w:r>
        <w:t xml:space="preserve">数万"拉卡族"轻松玩转信用卡</w:t>
      </w:r>
    </w:p>
    <w:p>
      <w:r>
        <w:t xml:space="preserve">不用携带大量的现金，也省去了找零的麻烦，甚至连密码都不用记，签个字就能完成消费，这是北上广等东部沿海地区数万名“拉卡族”热衷的最新生活方式。</w:t>
      </w:r>
    </w:p>
    <w:p>
      <w:r>
        <w:t xml:space="preserve">现如今，说起信用卡的好处来，每个人都会津津乐道，加油可以打折、吃饭能够优惠，就连看个电影都能比别人便宜一大半，而卡族们的烦恼也随之诞生，要想享受到信用卡的优惠大全至少得办十几张卡，每月光跑银行还款就累死你。</w:t>
      </w:r>
    </w:p>
    <w:p>
      <w:r>
        <w:t xml:space="preserve">其实拉卡拉在许多城市并不少见，只需轻轻一刷，信用卡还款、话费充值、公共缴费等生活必需的问题便轻松解决。最近，拉卡拉公司又推出了Mini拉卡拉，这是一款专门面向家庭用户和个人而设计研发的家用付款机，涵盖拉卡拉便利支付点具备的所有功能。</w:t>
      </w:r>
    </w:p>
    <w:p>
      <w:r>
        <w:t xml:space="preserve">"首先在Mini拉卡拉上选择‘信用卡还款’选项"张小姐为记者演示还款过程。在提示下，张小姐刷入一张欠款300元的广发信用卡，随后输入还款金额，并刷入一张招商银行的借记卡，在验证密码之后，拉卡拉提示还款已完成。不到一分钟的时间，张小姐的手机便收到了成功还款300元的短信。</w:t>
      </w:r>
    </w:p>
    <w:p>
      <w:r>
        <w:t xml:space="preserve">拉卡拉无疑称得上是信用卡还款的利器，但不表示它只是一台还款机器。记者了解发现，通过Mini拉卡拉，用户还可以为手机缴纳话费；网游爱好者还可以通过它购买游戏点卡；而家中所需订阅的期刊杂志等，它也能帮您全权包办；淘宝一族甚至可以通过它进行网购支付。拉卡拉还拥有一项非常实用的功能，那就是水电煤气等公共事业的缴费。</w:t>
      </w:r>
    </w:p>
    <w:p>
      <w:r>
        <w:t xml:space="preserve">今年3月，全国通过拉卡拉完成的单月交易业务量达到838万人次，交易金额超过118亿元。已在全国100多个城市铺建4万多个拉卡拉便利支付网点。随着Mini拉卡拉的推出，其带来的便利性已经由之前的“百步之内”提升到“足不出户”，成为城市白领不可或缺的支付工具。</w:t>
      </w:r>
    </w:p>
    <w:p>
      <w:hyperlink r:id="rId29">
        <w:r>
          <w:rPr>
            <w:rStyle w:val="Link"/>
          </w:rPr>
          <w:t xml:space="preserve">来源：河北经济网</w:t>
        </w:r>
      </w:hyperlink>
    </w:p>
    <w:p>
      <w:pPr>
        <w:pStyle w:val="Heading3"/>
      </w:pPr>
      <w:bookmarkStart w:id="30" w:name="邵琪伟鼓励外资旅行社经营中国出境游"/>
      <w:bookmarkEnd w:id="30"/>
      <w:r>
        <w:t xml:space="preserve">邵琪伟：鼓励外资旅行社经营中国出境游</w:t>
      </w:r>
    </w:p>
    <w:p>
      <w:r>
        <w:t xml:space="preserve">国家旅游局局长邵琪伟26日在北京举行的第十届世界旅游旅行大会圆桌会议上透露，中国将放宽旅游市场准入标准，在试点的基础上，鼓励外商投资旅行社经营中国公民出境旅游业务，鼓励国际资本广泛进入中国的旅游业。</w:t>
      </w:r>
    </w:p>
    <w:p>
      <w:r>
        <w:t xml:space="preserve">邵琪伟说，在试点的基础上，中国逐步对外资旅行社开放中国团队出境旅游的业务，力争在今年出台《外资旅行社经营中国团队出境游管理办法》，以此来进一步规范旅游市场秩序，并在法规的指导下推动这项业务的发展与合作。</w:t>
      </w:r>
    </w:p>
    <w:p>
      <w:r>
        <w:t xml:space="preserve">"中国鼓励国际资本广泛进入旅游装备制造业、旅游传媒业和旅游教育培训业。"邵琪伟直言不讳地表示，中国的现代旅游装备制造业发展还不够，还没有制造海洋游轮、没有制造旅游直升飞机，虽然旅游房车开始制造了，但是水平并不高，旅游营地的各种装备，包括探险旅游、高原旅游、海洋旅游等各种旅游装备的制造水平都很落后。</w:t>
      </w:r>
    </w:p>
    <w:p>
      <w:r>
        <w:t xml:space="preserve">邵琪伟说，我们鼓励中国的企业走出去，到世界各国去，与世界各国的旅游界，以及相关的旅游装备制造业界展开广泛的交流与合作。</w:t>
      </w:r>
    </w:p>
    <w:p>
      <w:r>
        <w:t xml:space="preserve">据介绍，中国现在拥有2万余家旅行社、2万余家规模以上旅游景区、30万家旅游住宿机构，还有超过150万家的乡村旅游接待设施，1700多所旅游院校，共同组成了较为完整的旅游产业体系。</w:t>
      </w:r>
    </w:p>
    <w:p>
      <w:r>
        <w:t xml:space="preserve">邵琪伟说，WTTC早就看到中国旅游市场的潜力巨大。按照现有预测，未来5年乃至10年之后，仅中国国内旅游将会达到28亿人次，入境旅游达到1亿人次左右。特别是出境旅游快速增长，将要达到或超过1亿人次。</w:t>
      </w:r>
    </w:p>
    <w:p>
      <w:r>
        <w:t xml:space="preserve">邵琪伟自信地表示，按照测算，如果一个中国公民在境外平均消费1000美元来计算，五、六年后，中国游客在境外要消费掉1000亿美元，这1000亿美元只是现实可计算的，而它背后将会拉动相关产业链的发展，解决更多的就业问题。中国旅游业正在进入新一轮快速发展黄金时期。</w:t>
      </w:r>
    </w:p>
    <w:p>
      <w:hyperlink r:id="rId31">
        <w:r>
          <w:rPr>
            <w:rStyle w:val="Link"/>
          </w:rPr>
          <w:t xml:space="preserve">来源：财经搜索</w:t>
        </w:r>
      </w:hyperlink>
    </w:p>
    <w:p>
      <w:pPr>
        <w:pStyle w:val="Heading2"/>
      </w:pPr>
      <w:bookmarkStart w:id="32" w:name="公司corporate"/>
      <w:bookmarkEnd w:id="32"/>
      <w:r>
        <w:t xml:space="preserve">公司Corporate</w:t>
      </w:r>
    </w:p>
    <w:p>
      <w:pPr>
        <w:pStyle w:val="Heading3"/>
      </w:pPr>
      <w:bookmarkStart w:id="33" w:name="美国承认中国市场经济地位利弊辨析"/>
      <w:bookmarkEnd w:id="33"/>
      <w:r>
        <w:t xml:space="preserve">美国承认中国"市场经济地位"利弊辨析</w:t>
      </w:r>
    </w:p>
    <w:p>
      <w:r>
        <w:t xml:space="preserve">刚刚结束的第二轮中美战略与经济对话发布成果清单。中美双方商定，将通过中美商贸联委会以一种合作的方式，迅速承认中国的市场经济地位。这意味着，在今年下半年的第二十一届中美商贸联委会后，美国可能给予中国完全市场经济地位待遇。</w:t>
      </w:r>
    </w:p>
    <w:p>
      <w:r>
        <w:t xml:space="preserve">对外经贸大学校长助理、国际经济贸易学院院长赵忠秀教授承认，这个消息“有点出乎意料”。中美双方关于给予中国市场经济国家地位的谈判，始于2004年，原本估计需一两年时间的谈判，一拖就是6年。</w:t>
      </w:r>
    </w:p>
    <w:p>
      <w:r>
        <w:t xml:space="preserve">"是否承认中国的市场经济国家地位，一直是贸易谈判中美国人手里很重要的一张牌。" 赵忠秀说。他解释说，"市场经济国家地位" 最重要的意义，并非对一国总体经济体制等情况作判断，更多体现在解决贸易纠纷时的“技术适用"。是否被承认为"完全市场经济国家"，直接决定了中国出口企业在面临反倾销诉讼时的境遇。</w:t>
      </w:r>
    </w:p>
    <w:p>
      <w:r>
        <w:t xml:space="preserve">根据世界贸易组织（WTO）关于倾销的定义是：一国产品以低于"正常价值"的价格出口到另一国，并对进口国相关工业造成了损害的行为。对被裁定为倾销的企业，进口国可根据成本与售价的差价，对其惩罚性地征收高利率的关税。</w:t>
      </w:r>
    </w:p>
    <w:p>
      <w:r>
        <w:t xml:space="preserve">噩梦源于一些国家的反倾销法规规定，反倾销案发起国对被指定为“非市场经济国家”的企业，可以采用与该国经济毫不相干的第三国（替代国）的市场价格来计算其产品的“正常价格”，而不按这些国家产品的实际成本计算价格。</w:t>
      </w:r>
    </w:p>
    <w:p>
      <w:r>
        <w:t xml:space="preserve">由于被选择的替代国的产品制造成本往往高于中国企业，反倾销诉讼中，中国企业极容易被贴上倾销的标签。比如在中美彩电反倾销案中，美国即选择印度为替代国，印度彩电的平均原材料价格是中国的6倍，这直接导致中国彩电的生产成本被高估，致使中国在应诉中处于不利地位。</w:t>
      </w:r>
    </w:p>
    <w:p>
      <w:r>
        <w:t xml:space="preserve">作为全球最大的经济体，美国也是每年对中国企业发起反倾销诉讼较多的国家之一，如美国给予中国市场经济国家待遇，将对其他国家的对华贸易政策具有极大示范意义。"如果美国赋予了中国市场经济地位，其他国家和地区的问题当可迎刃而解。这是中国政府特别重视与美国谈判的重要原因。"赵忠秀说。</w:t>
      </w:r>
    </w:p>
    <w:p>
      <w:r>
        <w:t xml:space="preserve">自1995年世贸组织成立以来，成员方反倾销立案中涉及中国产品的调查案件占总数的七分之一左右。中国已连续多年成为世界上遭受反倾销调查最多的国家，目前全世界三分之一的反倾销案件针对中国。2006年至2009年，仅美国对华反倾销涉案金额即超60亿美元，中国企业被迫多支付数亿美元的反倾销关税。</w:t>
      </w:r>
    </w:p>
    <w:p>
      <w:r>
        <w:t xml:space="preserve">"美国表示要承认中国的市场经济国家地位，释放了一种要合作的善意。" 赵忠秀说。但他指出，美国人放弃这张牌，必然要换取中国在其他方面的合作，比如新能源、增加对美国高科技技术和产品的进口、扩大金融等高端服务业市场的开放等。在这些领域，美国企业拥有绝对优势，当然希望中国政府进一步开放产品进口和市场准入。</w:t>
      </w:r>
    </w:p>
    <w:p>
      <w:r>
        <w:t xml:space="preserve">中国贸易专家普遍认为，不仅"完全市场经济国家地位"，包括人民币汇率在内，都是美国政府手里用以争取利益的重要谈判筹码。中国改革基金会国民经济研究所副所长王小鲁也认为，在中国的市场经济地位问题上达成共识，对中美双方皆有好处。</w:t>
      </w:r>
    </w:p>
    <w:p>
      <w:r>
        <w:t xml:space="preserve">不过，也曾有专家建议中国政府不必急着争取完全市场经济国家地位。如中国获得“完全市场经济国家地位”，有助于面临反倾销诉讼的中国出口企业获得公平对待，但可能增加反补贴调查的威胁。</w:t>
      </w:r>
    </w:p>
    <w:p>
      <w:r>
        <w:t xml:space="preserve">以美国"反补贴法案”为例，反补贴法不适用于非市场经济国家，但可以适用于市场经济导向的行业。也就是说，作为贸易救济手段之一的反补贴调查，对目前被认定为非市场经济国家的中国企业并不普遍适用。如要启动反补贴调查，则需将相关行业认定为“市场经济导向的行业"。这对美国来说就意味着，针对中国出口企业，可普遍适用的贸易救济手段就只剩下了反倾销调查一种。这也意味着，中国任何享受了政府补贴的行业和企业，尤其是国有企业，在出口时将首先面对这个问题。</w:t>
      </w:r>
    </w:p>
    <w:p>
      <w:r>
        <w:t xml:space="preserve">赵忠秀告诉记者，尽管并未给予中国完全市场经济国家地位，但加拿大却于2006年率先对中国出口企业发起“双反”调查（反倾销与反补贴），美国等国家随后跟上，开始使用这一手段。"这等于突破了WTO框架，变相改变了‘反补贴’的适用前提。虽然没有承认中国的完全市场经济国家地位，但在处理贸易纠纷时，已拿这个标准对待中国了。"赵忠秀说。</w:t>
      </w:r>
    </w:p>
    <w:p>
      <w:r>
        <w:t xml:space="preserve">"不过，随着中国与美国等贸易伙伴贸易量加大，贸易纠纷增加也是正常的，应以平常心看待。"赵忠秀说，贸易纠纷，只是全球经济结构失衡的一个体现，解决贸易纠纷还有赖于对失衡的纠偏。</w:t>
      </w:r>
    </w:p>
    <w:p>
      <w:hyperlink r:id="rId34">
        <w:r>
          <w:rPr>
            <w:rStyle w:val="Link"/>
          </w:rPr>
          <w:t xml:space="preserve">来源：中国青年报</w:t>
        </w:r>
      </w:hyperlink>
    </w:p>
    <w:p>
      <w:pPr>
        <w:pStyle w:val="Heading3"/>
      </w:pPr>
      <w:bookmarkStart w:id="35" w:name="北京市长洋顾问高房价拉低了北京的得分"/>
      <w:bookmarkEnd w:id="35"/>
      <w:r>
        <w:t xml:space="preserve">北京市长洋顾问：高房价拉低了北京的得分</w:t>
      </w:r>
    </w:p>
    <w:p>
      <w:r>
        <w:t xml:space="preserve">本报讯 （记者邵泽慧）今天上午，15位世界知名的企业家和北京市市长、副市长围坐在圆桌前，为北京未来的发展建言献策。在作为北京科博会重头戏之一的北京市市长国际企业家顾问年会上，北京的高房价也引起了“洋顾问”的关注。</w:t>
      </w:r>
    </w:p>
    <w:p>
      <w:r>
        <w:t xml:space="preserve">ABB集团董事长冯恩博表示，和交通一样，住房是北京面临的一个难题，近年来，北京房价一路飙升，直观地看，北京住房平均每平方米为3700美元，与东京房价相当，但是北京的平均收入不到东京的10%。</w:t>
      </w:r>
    </w:p>
    <w:p>
      <w:r>
        <w:t xml:space="preserve">冯恩博认为，如果在城市工作的人无法承担其生活成本，那么很难提高人们在北京的生活质量，也很难留住人才。他建议北京可以参照德国的经验，通过税收来控制炒房。</w:t>
      </w:r>
    </w:p>
    <w:p>
      <w:r>
        <w:t xml:space="preserve">普华永道全球主席戴瑞礼在提交的书面报告中也指出，他们近期发布的一份名为《机遇之都》的研究报告，分析了包括北京在内的21个全球城市，北京在技术智商和创新方面得分较高，但住房和城市宜居性拉低了北京的得分。戴瑞礼认为，这两项是衡量未来城市总体经济健康和发展势头的重要指标。</w:t>
      </w:r>
    </w:p>
    <w:p>
      <w:r>
        <w:t xml:space="preserve">北京市市长国际企业家顾问年会从1999年成立时的17人已发展到今天的29人。在以往八届顾问年会上，顾问们先后围绕北京如何加快发展适合首都特点的产业、如何处理好大都市发展与人口资源环境的关系、如何促进城市建设水平提高等22个议题向北京市政府提交了187份咨询报告，其中相当部分意见建议在北京城市建设和管理的决策与实践中起到了参考作用。</w:t>
      </w:r>
    </w:p>
    <w:p>
      <w:hyperlink r:id="rId36">
        <w:r>
          <w:rPr>
            <w:rStyle w:val="Link"/>
          </w:rPr>
          <w:t xml:space="preserve">来源：地方红茶叶网</w:t>
        </w:r>
      </w:hyperlink>
    </w:p>
    <w:p>
      <w:pPr>
        <w:pStyle w:val="Heading3"/>
      </w:pPr>
      <w:bookmarkStart w:id="37" w:name="经合组织26日上调成员国经济增长预期"/>
      <w:bookmarkEnd w:id="37"/>
      <w:r>
        <w:t xml:space="preserve">经合组织26日上调成员国经济增长预期</w:t>
      </w:r>
    </w:p>
    <w:p>
      <w:r>
        <w:t xml:space="preserve">经济合作与发展组织(Organization for Economic Cooperation and Development，简称OECD)26日表示，全球股市可能会下跌，因为投资者担心主权债务危机以及银行资金市场的周期性紧张可能拖累全球经济重回衰退，但OECD却在总体上对未来持更加乐观的态度。</w:t>
      </w:r>
    </w:p>
    <w:p>
      <w:r>
        <w:t xml:space="preserve">在其26日出版的半年度经济展望报告中，OECD上调了成员国2010年和2011年的经济增长预期，该机构首席经济学家帕多安(Pier Carlo Padoan)表示，相对来说，当前经济环境“充满希望”。</w:t>
      </w:r>
    </w:p>
    <w:p>
      <w:r>
        <w:t xml:space="preserve">帕多安在接受采访时指出，从根本上来说，全球经济前景较为乐观。</w:t>
      </w:r>
    </w:p>
    <w:p>
      <w:r>
        <w:t xml:space="preserve">OECD引用了发展中国家经济的强劲增长以及全球贸易量的快速复苏，称其现在预计2010年下属31个成员国综合国内生产总值(GDP)将增长2.7％，2011年将增长2.8％。其在2009年11月份的预期增幅分别为1.9％和2.5％。</w:t>
      </w:r>
    </w:p>
    <w:p>
      <w:r>
        <w:t xml:space="preserve">OECD表示，增长势头甚至可能更加强劲。</w:t>
      </w:r>
    </w:p>
    <w:p>
      <w:r>
        <w:t xml:space="preserve">帕多安指出，固定投资的反弹可能会更强，家庭消费的复苏也可能更快，因为家庭储蓄率的增长步伐(尤其是欧洲)远慢于预期。他表示，亚洲经济增长的溢出效应可能比预期更为强劲，尤其是美国和日本的经济复苏。</w:t>
      </w:r>
    </w:p>
    <w:p>
      <w:r>
        <w:t xml:space="preserve">OECD承认，人们对欧洲一些国家偿债能力以及亚洲部分国家经济过热感到担忧，意味着经济不会像2009年11月份所预计那样复苏的风险加剧。帕多安也表示，债务危机发源于欧元区部分国家，但动荡已经蔓延至欧元区其他国家和全球其他地区主权债务市场，而一些新兴市场经济体经济的过热也带来严重风险。他声称：“不能排除由盛至衰的可能性。”</w:t>
      </w:r>
    </w:p>
    <w:p>
      <w:r>
        <w:t xml:space="preserve">尽管欧元区政府存在债务问题，但OECD依旧上调了该地区2010年和2011年的经济增长预期，只不过复苏程度仍可能滞后于其他主要经济体。</w:t>
      </w:r>
    </w:p>
    <w:p>
      <w:r>
        <w:t xml:space="preserve">OECD预计，2010年和2011年，欧元区综合GDP将分别增长1.2％和1.8％，美国GDP两年间均将增长3.2％，而日本GDP将分别增长3.0％和2.0％。</w:t>
      </w:r>
    </w:p>
    <w:p>
      <w:r>
        <w:t xml:space="preserve">该机构认为，各国政府现在就应该着手削减预算赤字，并称其中必要性已经越来越迫切，因为投资者开始要求更高的收益率。帕多安表示，许多国家政府债务现在面临非常不利的因素，原因是债务规模上升推高了风险价差，这会加重债务负担同时抑制经济增长，而且债务持续性也进一步面临严重后果。</w:t>
      </w:r>
    </w:p>
    <w:p>
      <w:r>
        <w:t xml:space="preserve">OECD预计，在2010年和2011年，政府债券收益率每上升一个百分点，经济增长率就会下降半个百分点。</w:t>
      </w:r>
    </w:p>
    <w:p>
      <w:r>
        <w:t xml:space="preserve">该机构表示，为了阻止这种情况发生，各国应该在中期内出台具体减债计划，这至关重要。但其表示，目前，日本政府尚无此类计划，德国和意大利政府的计划应该更为详细，以提高政府可信度，而美国政府减债计划的力度应该更大，且应该以阻止公共债务在经济规模所占比例出现上升为目标。</w:t>
      </w:r>
    </w:p>
    <w:p>
      <w:r>
        <w:t xml:space="preserve">OECD同时表示，尽管全球经济前景依旧面临风险，而且通胀也保持温和前景，但各国央行不久就应该升息。其预计，多数主要经济体将从2010年年底开始逐步开启"利率正常化"步骤。</w:t>
      </w:r>
    </w:p>
    <w:p>
      <w:r>
        <w:t xml:space="preserve">但OECD却敦促英国央行(BOE)采取更加积极的措施，并呼吁其到2011年年底将关键利率从目前的0.5％提高至3.5％。该机构指出，考虑到在极端宽松的货币和财政政策背景下可能出现的高通胀率，英国央行必须采取行动维持其信誉。</w:t>
      </w:r>
    </w:p>
    <w:p>
      <w:r>
        <w:t xml:space="preserve">OECD还表示，经济高速增长的亚洲经济体(例如中国和印度)需要实施"更为强劲"的紧缩措施，以防通胀上升、资产价格泡沫涌现。</w:t>
      </w:r>
    </w:p>
    <w:p>
      <w:r>
        <w:t xml:space="preserve">此外，OECD再度呼吁中国政府允许人民币汇率扩大浮动范围，其结果可能是人民币兑美元和其他主要货币升值。帕多安表示，扩大人民币汇率浮动范围能够缓解中国货币政策的部分压力，而且给中国解决国内通胀问题提供了更多操作空间。</w:t>
      </w:r>
    </w:p>
    <w:p>
      <w:hyperlink r:id="rId38">
        <w:r>
          <w:rPr>
            <w:rStyle w:val="Link"/>
          </w:rPr>
          <w:t xml:space="preserve">来源：金融界</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9">
        <w:r>
          <w:rPr>
            <w:rStyle w:val="Link"/>
          </w:rPr>
          <w:t xml:space="preserve">unsubscribe@charltonslaw.com</w:t>
        </w:r>
      </w:hyperlink>
    </w:p>
    <w:p>
      <w:r>
        <w:rPr>
          <w:b/>
        </w:rPr>
        <w:t xml:space="preserve">易周律师行 - 法讯 - 中国 - 第340期 - 2010年05月31日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afece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027bs.com/Html/?18952.html" TargetMode="External" /><Relationship Type="http://schemas.openxmlformats.org/officeDocument/2006/relationships/hyperlink" Id="rId25" Target="http://finance.ifeng.com/money/insurance/hydt/20100527/2238980.shtml" TargetMode="External" /><Relationship Type="http://schemas.openxmlformats.org/officeDocument/2006/relationships/hyperlink" Id="rId38" Target="http://finance.jrj.com.cn/2010/05/2619377532979.shtml" TargetMode="External" /><Relationship Type="http://schemas.openxmlformats.org/officeDocument/2006/relationships/hyperlink" Id="rId27" Target="http://hkba.eastmoney.com/ggyw,267619,hk.html" TargetMode="External" /><Relationship Type="http://schemas.openxmlformats.org/officeDocument/2006/relationships/hyperlink" Id="rId31" Target="http://news.10jqka.com.cn/field/20100527/62621869.shtml" TargetMode="External" /><Relationship Type="http://schemas.openxmlformats.org/officeDocument/2006/relationships/hyperlink" Id="rId21" Target="http://www.charltonslaw.com.cn/china-news-alerts-cn-issue-340/" TargetMode="External" /><Relationship Type="http://schemas.openxmlformats.org/officeDocument/2006/relationships/hyperlink" Id="rId29" Target="http://www.hbjjrb.com/sctk/TK/201005/196903.html" TargetMode="External" /><Relationship Type="http://schemas.openxmlformats.org/officeDocument/2006/relationships/hyperlink" Id="rId34" Target="http://zqb.cyol.com/content/2010-05/27/content_3251166.htm" TargetMode="External" /><Relationship Type="http://schemas.openxmlformats.org/officeDocument/2006/relationships/hyperlink" Id="rId3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6" Target="http://027bs.com/Html/?18952.html" TargetMode="External" /><Relationship Type="http://schemas.openxmlformats.org/officeDocument/2006/relationships/hyperlink" Id="rId25" Target="http://finance.ifeng.com/money/insurance/hydt/20100527/2238980.shtml" TargetMode="External" /><Relationship Type="http://schemas.openxmlformats.org/officeDocument/2006/relationships/hyperlink" Id="rId38" Target="http://finance.jrj.com.cn/2010/05/2619377532979.shtml" TargetMode="External" /><Relationship Type="http://schemas.openxmlformats.org/officeDocument/2006/relationships/hyperlink" Id="rId27" Target="http://hkba.eastmoney.com/ggyw,267619,hk.html" TargetMode="External" /><Relationship Type="http://schemas.openxmlformats.org/officeDocument/2006/relationships/hyperlink" Id="rId31" Target="http://news.10jqka.com.cn/field/20100527/62621869.shtml" TargetMode="External" /><Relationship Type="http://schemas.openxmlformats.org/officeDocument/2006/relationships/hyperlink" Id="rId21" Target="http://www.charltonslaw.com.cn/china-news-alerts-cn-issue-340/" TargetMode="External" /><Relationship Type="http://schemas.openxmlformats.org/officeDocument/2006/relationships/hyperlink" Id="rId29" Target="http://www.hbjjrb.com/sctk/TK/201005/196903.html" TargetMode="External" /><Relationship Type="http://schemas.openxmlformats.org/officeDocument/2006/relationships/hyperlink" Id="rId34" Target="http://zqb.cyol.com/content/2010-05/27/content_3251166.htm" TargetMode="External" /><Relationship Type="http://schemas.openxmlformats.org/officeDocument/2006/relationships/hyperlink" Id="rId3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第340期 - 2010年05月31日</dc:title>
  <dc:creator/>
</cp:coreProperties>
</file>