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第341期</w:t>
      </w:r>
      <w:r>
        <w:t xml:space="preserve"> </w:t>
      </w:r>
      <w:r>
        <w:t xml:space="preserve">-</w:t>
      </w:r>
      <w:r>
        <w:t xml:space="preserve"> </w:t>
      </w:r>
      <w:r>
        <w:t xml:space="preserve">2010年06月07日</w:t>
      </w:r>
    </w:p>
    <w:p>
      <w:hyperlink r:id="rId21">
        <w:r>
          <w:rPr>
            <w:rStyle w:val="Link"/>
          </w:rPr>
          <w:t xml:space="preserve">网络版</w:t>
        </w:r>
      </w:hyperlink>
    </w:p>
    <w:p>
      <w:pPr>
        <w:pStyle w:val="Heading1"/>
      </w:pPr>
      <w:bookmarkStart w:id="22" w:name="法讯中国第341期"/>
      <w:bookmarkEnd w:id="22"/>
      <w:r>
        <w:t xml:space="preserve">法讯中国第341期</w:t>
      </w:r>
    </w:p>
    <w:p>
      <w:pPr>
        <w:pStyle w:val="Heading2"/>
      </w:pPr>
      <w:bookmarkStart w:id="23" w:name="资本市场-capital-markets"/>
      <w:bookmarkEnd w:id="23"/>
      <w:r>
        <w:t xml:space="preserve">资本市场 CAPITAL MARKETS</w:t>
      </w:r>
    </w:p>
    <w:p>
      <w:pPr>
        <w:pStyle w:val="Heading3"/>
      </w:pPr>
      <w:bookmarkStart w:id="24" w:name="姜建清中国工商银行将稳步推进国际化发展"/>
      <w:bookmarkEnd w:id="24"/>
      <w:r>
        <w:t xml:space="preserve">姜建清：中国工商银行将稳步推进国际化发展</w:t>
      </w:r>
    </w:p>
    <w:p>
      <w:r>
        <w:t xml:space="preserve">中国工商银行董事长姜建清2日在法国西北部城市拉博勒举行的第八届世界投资会议上说，中国工商银行将抓住世界经济复苏带来的良好机遇，耐心面对各种挑战，有条不紊地推进国际化发展。</w:t>
      </w:r>
    </w:p>
    <w:p>
      <w:r>
        <w:t xml:space="preserve">姜建清在会议上发言说，随着中国金融改革不断深化，中国金融业与世界金融业的双向互动越来越紧密，中资金融机构逐渐成为国际金融市场活跃的力量，中国金融机构正积极审慎地参与国际并购市场。到去年年底，中国五家大型银行在国外共设立84家一级营业机构。工商银行已在全球21个国家和地区设立24家营业机构，分支机构总数达180家，还准备在欧洲地区新增5家。</w:t>
      </w:r>
    </w:p>
    <w:p>
      <w:r>
        <w:t xml:space="preserve">姜建清介绍说，近年来，工商银行进行了10次不同规模的成功并购。他总结说，为确保投资并购对集团整体增长的贡献，工商银行围绕审慎投资促进可持续增长的理念，坚持四项原则：一是投资中讲战略的契合；二是风险可控，强调对并购风险准确地设立和防范；三是价格合理，强调与战略相符的成本测算与并购；四是稳健决策，强调并购决策的审慎和果断。</w:t>
      </w:r>
    </w:p>
    <w:p>
      <w:r>
        <w:t xml:space="preserve">他说，大量外国金融机构积极在中国开设分支机构，寻找投资入股的机会，分享中国经济快速增长带来的成长机会。这也促进了对中国金融业的公司治理和金融管理风险控制水平，进一步优化了投资者结构，加快了中国金融市场与国际性市场的接轨。</w:t>
      </w:r>
    </w:p>
    <w:p>
      <w:hyperlink r:id="rId25">
        <w:r>
          <w:rPr>
            <w:rStyle w:val="Link"/>
          </w:rPr>
          <w:t xml:space="preserve">来源：中金在线</w:t>
        </w:r>
      </w:hyperlink>
    </w:p>
    <w:p>
      <w:pPr>
        <w:pStyle w:val="Heading3"/>
      </w:pPr>
      <w:bookmarkStart w:id="26" w:name="欧洲主权债务危机殃及中国"/>
      <w:bookmarkEnd w:id="26"/>
      <w:r>
        <w:t xml:space="preserve">欧洲主权债务危机殃及中国</w:t>
      </w:r>
    </w:p>
    <w:p>
      <w:r>
        <w:t xml:space="preserve">在全球经济平稳复苏“苗头”刚起之时，欧元重挫伤及的不仅是金融市场投资者，还可能把中国出口企业一起拖下水。</w:t>
      </w:r>
    </w:p>
    <w:p>
      <w:pPr>
        <w:pStyle w:val="Heading4"/>
      </w:pPr>
      <w:bookmarkStart w:id="27" w:name="出口企业措手不及"/>
      <w:bookmarkEnd w:id="27"/>
      <w:r>
        <w:t xml:space="preserve">出口企业措手不及</w:t>
      </w:r>
    </w:p>
    <w:p>
      <w:r>
        <w:t xml:space="preserve">希腊主权债务危机引发的欧债危机，在一定程度上演变为欧元的危机。无论进口商还是出口商，中国企业对欧元的连连重挫多少都有些无奈，这一方面源自汇兑损失，另一方面则是担忧其对订单数量的间接影响。</w:t>
      </w:r>
    </w:p>
    <w:p>
      <w:r>
        <w:t xml:space="preserve">从1欧元兑9.8元人民币到现在的1欧元兑8.4元，今年以来，欧元兑人民币汇率已下跌约14.3%。</w:t>
      </w:r>
    </w:p>
    <w:p>
      <w:r>
        <w:t xml:space="preserve">“面对欧元的大幅下挫，企业确实措手不及。”专注于集团资金管理的亚桥咨询创始人兼CEO高杰昨天接受记者采访时说，“有一家浙江进口企业，去年在欧元汇率高点时签下好几千万的单子，等欧元跌到10以下锁定了汇率，买入大量欧元头寸用于支付，怕欧元有所反弹，但没想到一路跌到现在。”</w:t>
      </w:r>
    </w:p>
    <w:p>
      <w:r>
        <w:t xml:space="preserve">“进口企业只是少赚一部分汇兑盈利，但出口企业的情况就是挤压利润。”高杰继续说道，“以一张2000万欧元的订单为例，此前高点约在1欧元兑13元人民币，收入在2.6亿元，而用现在的8.4来算就是1.68亿元，其中汇兑造成的损失就高达近1个亿。”</w:t>
      </w:r>
    </w:p>
    <w:p>
      <w:r>
        <w:t xml:space="preserve">“汇率不稳定对公司肯定有影响，和订单长短也有关系。”一家主要针对欧美市场的毛针织产品出口企业相关人士对本报记者表示，“一般来说，和客户签订合同时就会有一个相对固定的基准汇率，定了一般就很难再改；现在规避汇率损失的手段主要也就是稍稍锁定汇率，但这都要与银行和境外客户沟通。而在订单数量上面，目前还没有太大影响。”</w:t>
      </w:r>
    </w:p>
    <w:p>
      <w:r>
        <w:t xml:space="preserve">在业内人士看来，欧元重挫可能拖累欧洲经济，从而抑制消费需求。</w:t>
      </w:r>
    </w:p>
    <w:p>
      <w:r>
        <w:t xml:space="preserve">2009年，我国对欧盟出口总额在2362亿美元，占中国总出口额19.7%，其中对希腊、西班牙、葡萄牙、爱尔兰和意大利五国的出口总额约417亿美元，占当年我国出口总额约3.5%，占对欧盟出口总额约18%。</w:t>
      </w:r>
    </w:p>
    <w:p>
      <w:r>
        <w:t xml:space="preserve">新峤网络设备（上海）有限公司首席执行官黄钢表示，电信设备等产品的出口基本以半年以上的长期订单为主，所以暂时还没有太受短期影响。反而德国方面趁欧元贬值都赶着出口，所以进口半成品的订单有所增加，他们经过加工后再出口到其他国家。该公司以进口原材料、出口产品为主，目前约有三分之一出口面向欧洲。</w:t>
      </w:r>
    </w:p>
    <w:p>
      <w:r>
        <w:t xml:space="preserve">“目前欧盟区域内贸易更受影响，但包括德国、法国、荷兰等在内的欧盟主要经济体情况尚可。”复旦大学欧洲问题研究中心主任丁纯教授接受本报记者采访时也说，“虽然西班牙、葡萄牙等也出现流动性危机，但这些国家的经济结构与希腊毕竟不同。”</w:t>
      </w:r>
    </w:p>
    <w:p>
      <w:pPr>
        <w:pStyle w:val="Heading4"/>
      </w:pPr>
      <w:bookmarkStart w:id="28" w:name="更担心人民币升值"/>
      <w:bookmarkEnd w:id="28"/>
      <w:r>
        <w:t xml:space="preserve">“更担心人民币升值”</w:t>
      </w:r>
    </w:p>
    <w:p>
      <w:r>
        <w:t xml:space="preserve">而对于大部分仍用美元支付结算的出口企业来说，更忧心的恐怕还是美元和人民币之间的汇率变化。</w:t>
      </w:r>
    </w:p>
    <w:p>
      <w:r>
        <w:t xml:space="preserve">“哪怕是欧洲客户，现在也都用美元进行结算。”上海新联纺进出口有限公司董事长黄勤如是说，“欧元波动太大，而人民币相对还是盯住美元的。”</w:t>
      </w:r>
    </w:p>
    <w:p>
      <w:r>
        <w:t xml:space="preserve">“实际上更担心的还是美元和人民币汇率，一旦人民币升值，出口企业怎么办？”黄钢也对记者表示。</w:t>
      </w:r>
    </w:p>
    <w:p>
      <w:r>
        <w:t xml:space="preserve">高杰则指出， 汇率波动一定会对企业经营产生很大影响，尤其未来一旦人民币和美元之间的汇率浮动加大，人民币和美元也势必会上演如今人民币和欧元这样类似的故事，就像前段时间人民币升值预期升温，一些出口美洲的企业已经遇到国际采购商取消订单的问题。</w:t>
      </w:r>
    </w:p>
    <w:p>
      <w:r>
        <w:t xml:space="preserve">“虽然汇率风险始终存在，但企业首先要对汇率风险敞口有清楚认识，在业务流程中哪些环节存在金融风险，哪些工具可以平复敞口，汇率波动的幅度和相应的政策应对又是什么，如何根据价格趋势逐步锁定风险等等，而现在大部分企业缺乏这样的财务风险管理体系。”高杰表示，“成本不应只是产品制造成本，还应该将运营、财务、金融控制等成本也纳入其中。”</w:t>
      </w:r>
    </w:p>
    <w:p>
      <w:pPr>
        <w:pStyle w:val="Heading4"/>
      </w:pPr>
      <w:bookmarkStart w:id="29" w:name="经济复苏主旋律不变"/>
      <w:bookmarkEnd w:id="29"/>
      <w:r>
        <w:t xml:space="preserve">经济复苏“主旋律”不变</w:t>
      </w:r>
    </w:p>
    <w:p>
      <w:r>
        <w:t xml:space="preserve">瑞士信贷最新预测，未来3个月内欧元兑美元还将触及低点，弱势欧元将维持两年左右。而日本瑞穗市场经济学家Daisuke Karakama近日则公开指出，在欧盟正式建立货币基金之前，欧元都将处于长期贬值状态，预计欧元兑美元汇率将在今年年底前下滑到1.1位置。</w:t>
      </w:r>
    </w:p>
    <w:p>
      <w:r>
        <w:t xml:space="preserve">“欧元疲软，亚洲出口商可能面临困境。”瑞银财富管理近日在一份报告中写到，对中国而言，希腊危机影响最重的可能是能源和工业企业，尤其是交通运输、为欧洲市场服务的原始设备制造商（OEM）和原始设计制造商（ODM）、石油相关以及向欧洲出口的公司。</w:t>
      </w:r>
    </w:p>
    <w:p>
      <w:r>
        <w:t xml:space="preserve">但瑞银同时指出，对于高风险的欧洲经济来说，亚洲的风险是有限的。目前为止，亚洲一直处于‘双轨复苏’之中，内需和出口都在强劲上升。</w:t>
      </w:r>
    </w:p>
    <w:p>
      <w:r>
        <w:t xml:space="preserve">“中国对欧洲出口总体比重很高，所以欧元下跌会给我们的出口企业带来影响。”丁纯对本报记者说，“欧元重挫对欧洲本身来说倒不一定是坏事，他们可以增加出口，并且外界迫使人民币升值的压力也会相对减小。但预计欧洲经济的复苏仍要比全球延迟大半年到一年。”</w:t>
      </w:r>
    </w:p>
    <w:p>
      <w:hyperlink r:id="rId30">
        <w:r>
          <w:rPr>
            <w:rStyle w:val="Link"/>
          </w:rPr>
          <w:t xml:space="preserve">来源：资源网</w:t>
        </w:r>
      </w:hyperlink>
    </w:p>
    <w:p>
      <w:pPr>
        <w:pStyle w:val="Heading3"/>
      </w:pPr>
      <w:bookmarkStart w:id="31" w:name="加拿大财长是时候讨论退出政策"/>
      <w:bookmarkEnd w:id="31"/>
      <w:r>
        <w:t xml:space="preserve">加拿大财长：是时候讨论退出政策</w:t>
      </w:r>
    </w:p>
    <w:p>
      <w:r>
        <w:t xml:space="preserve">"在此前召开的一些国际会议和论坛中，我们总是觉得谈退出策略还很早，但是现在已经到了实施退出策略的时候了。”加拿大财政部长吉姆·弗拉赫蒂（Jim Flaherty）6月3日下午在北京的媒体吹风会上如此表示。</w:t>
      </w:r>
    </w:p>
    <w:p>
      <w:r>
        <w:t xml:space="preserve">弗拉赫蒂预计今年加拿大的GDP将同比增长3%-4%，但他并没有详细介绍加拿大将会采取怎样的退出措施，但“该是时候讨论了”，他说这将是即将召开的G20财长会议的一个重要议题，并将会得到深入讨论。</w:t>
      </w:r>
    </w:p>
    <w:p>
      <w:r>
        <w:t xml:space="preserve">弗拉赫蒂希望各国积极应对财政挑战，以确保强劲的、可持续的发展。受欧洲主权债务危机的影响，全球经济复苏的基础还很薄弱，他呼吁G20成员履行先前对金融改革的承诺，同时反对全球征收银行税的措施。</w:t>
      </w:r>
    </w:p>
    <w:p>
      <w:r>
        <w:t xml:space="preserve">对于美国和一些欧洲国家提出的对全球银行征收银行税以加强监管的提议，加拿大一直持反对意见。加拿大金融监管机构甚至提出了一项不同于银行税的方案，他们称之为“内嵌或有资本金”（embedded contingent capital），这是一种证券，银行陷入债务困境时可以转化为普通股，这样一来可以立刻提升资产不良银行的核心资本，而无须动用纳税人的税款来拯救银行业。</w:t>
      </w:r>
    </w:p>
    <w:p>
      <w:r>
        <w:t xml:space="preserve">在这个议题上，财长说他已经取得了中国的支持。当被问到中国是否反对银行税时，财长回答说：“是。”银行税是国际货币基金组织所支持的一项改革方案，旨在防止纳税人为银行救助买单，弗拉赫蒂说，“在G20内部，这个少数国家提出的方案没有获得广泛支持。”</w:t>
      </w:r>
    </w:p>
    <w:p>
      <w:r>
        <w:t xml:space="preserve">提到加拿大与中国之间的相互贸易和前段时间发生的贸易争端问题，弗拉赫蒂说，我们反对贸易保护主义，尽量避免这类做法，加拿大会积极和中方进行磋商。加拿大取消了针对制造业设备原料的关税，是20国集团中第一个取消此类关税的国家。</w:t>
      </w:r>
    </w:p>
    <w:p>
      <w:r>
        <w:t xml:space="preserve">当日上午，弗拉赫蒂还会晤了财政部长谢旭人和发改委、保监会、银监会的高级官员，并且在北京举办了投资午宴。据悉，除了退出策略和金融监管之外，讨论欧洲经济也是20国集团财长和央行行长会议的主要议题。</w:t>
      </w:r>
    </w:p>
    <w:p>
      <w:r>
        <w:t xml:space="preserve">6月4日至6月5日将在韩国釜山举办G20财长会，这次会议将会为本月底在加拿大多伦多召开的G20领导人峰会设置议程，进行预热。不少分析人士认为，中国人民币汇率问题也将会在G20领导人峰会上得到充分讨论并达成共识.</w:t>
      </w:r>
    </w:p>
    <w:p>
      <w:hyperlink r:id="rId32">
        <w:r>
          <w:rPr>
            <w:rStyle w:val="Link"/>
          </w:rPr>
          <w:t xml:space="preserve">来源：财新网</w:t>
        </w:r>
      </w:hyperlink>
    </w:p>
    <w:p>
      <w:pPr>
        <w:pStyle w:val="Heading3"/>
      </w:pPr>
      <w:bookmarkStart w:id="33" w:name="非洲矿业公司董事长每年能供应中国亿吨铁矿石"/>
      <w:bookmarkEnd w:id="33"/>
      <w:r>
        <w:t xml:space="preserve">非洲矿业公司董事长：每年能供应中国亿吨铁矿石</w:t>
      </w:r>
    </w:p>
    <w:p>
      <w:r>
        <w:t xml:space="preserve">“我这次来中国是和几家非常大的公司谈合作，但是暂时还不能披露具体的消息，一两个月后你们可能就会知道了。”6月3日，前来中国寻找合作伙伴的非洲矿业公司董事长Frank Timis如此表示。</w:t>
      </w:r>
    </w:p>
    <w:p>
      <w:r>
        <w:t xml:space="preserve">据了解，Frank Timis此行意在为非洲矿业在非洲拥有的塞拉利昂唐克里里项目寻求资金合作。该矿床拥有105亿吨的磁铁矿和8亿吨赤铁矿储量，平均原位级别29%。</w:t>
      </w:r>
    </w:p>
    <w:p>
      <w:r>
        <w:t xml:space="preserve">此前，中铁物资已与非洲矿业签署框架协议，斥资2.8亿美元收购后者12.5%的股权。根据协议，中铁物资的收购资金将为非洲矿业在塞拉利昂的铁矿开发工程筹资；而中铁物资则每年从非洲矿业公司进口500万吨到800万吨的赤铁矿石。</w:t>
      </w:r>
    </w:p>
    <w:p>
      <w:r>
        <w:t xml:space="preserve">“铁矿石是有国家战略意义的，既然中国现在已经成为世界经济增长的一个火车头，能够摆脱这种被价格控制的局面的方式就是要有公司在上游。”Frank如是解释中国公司与其合作的理由。</w:t>
      </w:r>
    </w:p>
    <w:p>
      <w:r>
        <w:t xml:space="preserve">“Frank先生今后每三个月就会来中国一趟的。”采访结束时，接待人员的这个细节也彰显了中国因素对于非洲矿业公司的重要性。</w:t>
      </w:r>
    </w:p>
    <w:p>
      <w:r>
        <w:t xml:space="preserve">《21世纪》：能否简单介绍一下西非塞拉利昂的这个矿山项目？</w:t>
      </w:r>
    </w:p>
    <w:p>
      <w:r>
        <w:t xml:space="preserve">Frank Timis：它不仅是西非最大，而且是全世界最大的磁铁矿。我们现在发现的是超过100亿吨以上经证实的储量，这就意味着今后的100年当中，我们有能力每年向中国供应1亿吨铁矿石。</w:t>
      </w:r>
    </w:p>
    <w:p>
      <w:r>
        <w:t xml:space="preserve">这也就是说，我们有能力用这样的储量满足中国今后100年当中所有铁矿石进口量的10%左右。所有这些铁矿石都会运到中国来，并且真正使得中国成为一个价格制定者，而不是一个被动的价格接受者。今后发展到一定年限以后，我们生产量将达到4500万吨/年，甚至达到7500万吨/年。</w:t>
      </w:r>
    </w:p>
    <w:p>
      <w:r>
        <w:t xml:space="preserve">《21世纪》：但是中国距离西非很遥远，与澳大利亚的矿比起来，将不具有成本优势，非洲矿业将如何与三大矿商竞争？</w:t>
      </w:r>
    </w:p>
    <w:p>
      <w:r>
        <w:t xml:space="preserve">Frank Timis：澳大利亚高品质的铁矿石已经消耗殆尽了，而且澳大利亚两大矿商目前所拥有的资源品位比较低。如果看一下中国从澳大利亚和巴西进口铁矿石比例的话，澳大利亚和巴西之比大约是2：1左右。</w:t>
      </w:r>
    </w:p>
    <w:p>
      <w:r>
        <w:t xml:space="preserve">从巴西进口的是卡拉加斯矿比较高品质的铁矿石，而我们的产品将比巴西的铁矿石品质还高。而从西非通过船运的方式运到中国，比从巴西运到中国还要快一天。</w:t>
      </w:r>
    </w:p>
    <w:p>
      <w:r>
        <w:t xml:space="preserve">此外，我们磁铁矿生产成本非常低，在20美元左右。</w:t>
      </w:r>
    </w:p>
    <w:p>
      <w:r>
        <w:t xml:space="preserve">我们的能源价格成本比较低，我们离港口特别近，而且港口是我们自己拥有的。而巴西的能源成本大概是我们4到5倍，人工成本是我们的20倍。</w:t>
      </w:r>
    </w:p>
    <w:p>
      <w:r>
        <w:t xml:space="preserve">《21世纪》：如此大的一个项目需要多大的投资？非洲矿业和中铁物资的合作目前进展到什么阶段了？</w:t>
      </w:r>
    </w:p>
    <w:p>
      <w:r>
        <w:t xml:space="preserve">Frank Timis：大概是几十亿的投资，分为第一期、第二期和第三期。目前第一期钱已经到位了，第二期需要10亿，第三期需要40亿，所以总共还需要50亿。</w:t>
      </w:r>
    </w:p>
    <w:p>
      <w:r>
        <w:t xml:space="preserve">对于和中铁物资的交易，我们已经和他们达成了最后协议。我希望在今后的两三周内，中铁物资就可以得到相关主管部门的批准。</w:t>
      </w:r>
    </w:p>
    <w:p>
      <w:r>
        <w:t xml:space="preserve">《21世纪》：可是中铁物资只是一个贸易商，并没有钢铁生产企业，中国钢铁企业还是得按市场价购买铁矿石，如何从中获益呢？</w:t>
      </w:r>
    </w:p>
    <w:p>
      <w:r>
        <w:t xml:space="preserve">Frank Timis：中铁物资是一个钢铁的贸易商，但是它和一些钢铁厂是属于同源的，有同样的母公司。中铁物资是国有企业，这些大型钢厂也是国有企业。他们铁矿石不会卖到欧洲去，都会卖到中国，所以还是会受益。</w:t>
      </w:r>
    </w:p>
    <w:p>
      <w:r>
        <w:t xml:space="preserve">《21世纪》：在非洲投资很多人都认为会遇到政策以及政治风险，非洲矿业是如何考虑的？</w:t>
      </w:r>
    </w:p>
    <w:p>
      <w:r>
        <w:t xml:space="preserve">Frank Timis：可以说在西非塞拉利昂投资要比在澳大利亚和加拿大风险小。这些国家正在发展进程当中，政策始终没有什么变化，但是澳大利亚哪怕过一夜就会改变自己的政策，所以您可以判断究竟塞拉利昂还是澳大利亚危机更大。</w:t>
      </w:r>
    </w:p>
    <w:p>
      <w:r>
        <w:t xml:space="preserve">中国和塞拉利昂关系一直非常好，去年我陪塞拉利昂总统两次访问中国。在塞拉利昂很多正在建设的项目，包括一些基础项目，都是由中国公司来进行承建的，他们甚至有一个非常大的中国城。</w:t>
      </w:r>
    </w:p>
    <w:p>
      <w:hyperlink r:id="rId34">
        <w:r>
          <w:rPr>
            <w:rStyle w:val="Link"/>
          </w:rPr>
          <w:t xml:space="preserve">来源：凤凰网</w:t>
        </w:r>
      </w:hyperlink>
    </w:p>
    <w:p>
      <w:pPr>
        <w:pStyle w:val="Heading2"/>
      </w:pPr>
      <w:bookmarkStart w:id="35" w:name="公司与商业-corporate-commercial"/>
      <w:bookmarkEnd w:id="35"/>
      <w:r>
        <w:t xml:space="preserve">公司与商业 CORPORATE &amp; COMMERCIAL</w:t>
      </w:r>
    </w:p>
    <w:p>
      <w:pPr>
        <w:pStyle w:val="Heading3"/>
      </w:pPr>
      <w:bookmarkStart w:id="36" w:name="中国反对美国对中国产钢格板双反终裁"/>
      <w:bookmarkEnd w:id="36"/>
      <w:r>
        <w:t xml:space="preserve">中国：反对美国对中国产钢格板双反终裁</w:t>
      </w:r>
    </w:p>
    <w:p>
      <w:r>
        <w:t xml:space="preserve">中国商务部周三晚间表示，对美国商务部就中国输入美国钢格栅板反倾销反补贴调查终裁结果表示不满和反对。</w:t>
      </w:r>
    </w:p>
    <w:p>
      <w:r>
        <w:t xml:space="preserve">中国这一表态可能预示将会推出报复性措施，从而使得两国的贸易摩擦加剧。</w:t>
      </w:r>
    </w:p>
    <w:p>
      <w:r>
        <w:t xml:space="preserve">美国商务部(Commerce Department)周二宣布对进口自中国的钢格栅板反倾销反补贴调查终裁结果，认定中国企业倾销幅度为136.76%至145.18%，补贴幅度为62.46%。</w:t>
      </w:r>
    </w:p>
    <w:p>
      <w:r>
        <w:t xml:space="preserve">中国商务部公平贸易局未具名负责人对此表示，美国在这次调查中同时使用替代国、外部基准、不利事实等歧视性做法，错误认定倾销和补贴的存在并任意提高双反税率，中国对此表示不满和反对。</w:t>
      </w:r>
    </w:p>
    <w:p>
      <w:r>
        <w:t xml:space="preserve">该负责人表示，美国认定以及计算方面的错误做法，损害了中国的利益，是中国政府和产业界都不能接受的。这些错误做法已经在其他案件中被美国法院裁定为不当，中国督促美国正视客观事实，采取有效的措施纠正错误做法。</w:t>
      </w:r>
    </w:p>
    <w:p>
      <w:r>
        <w:t xml:space="preserve">该负责人称，中国对使用贸易救济措施一直保持克制态度，也希望美国恪守承诺和两国领导人达成的共识，克制使用贸易救济措施，反对贸易保护主义。</w:t>
      </w:r>
    </w:p>
    <w:p>
      <w:r>
        <w:t xml:space="preserve">美国目前已经连续对中国出口产品发起了25起反倾销反补贴调查，而2009年美国对中国发起贸易救济案件数量和涉案金额分别较上年同期增长53%和8倍。</w:t>
      </w:r>
    </w:p>
    <w:p>
      <w:r>
        <w:t xml:space="preserve">2009年，美国进口的中国钢格板总额由2008年的9,070万美元降至1,530万美元。</w:t>
      </w:r>
    </w:p>
    <w:p>
      <w:r>
        <w:t xml:space="preserve">在美国商务部做出终裁决定之后，如果美国国际贸易委员会(International Trade Commission)裁决认为美国钢格板生产商受到了中国产钢格板的重大威胁，上述反倾销税和反补贴税将生效。该委员会将于下个月对此作出决定。</w:t>
      </w:r>
    </w:p>
    <w:p>
      <w:hyperlink r:id="rId37">
        <w:r>
          <w:rPr>
            <w:rStyle w:val="Link"/>
          </w:rPr>
          <w:t xml:space="preserve">来源：华尔街日报</w:t>
        </w:r>
      </w:hyperlink>
    </w:p>
    <w:p>
      <w:pPr>
        <w:pStyle w:val="Heading3"/>
      </w:pPr>
      <w:bookmarkStart w:id="38" w:name="中国需求猛增-澳大利亚四月出口增长18.4"/>
      <w:bookmarkEnd w:id="38"/>
      <w:r>
        <w:t xml:space="preserve">中国需求猛增 澳大利亚四月出口增长18.4%</w:t>
      </w:r>
    </w:p>
    <w:p>
      <w:r>
        <w:t xml:space="preserve">4月月份澳大利亚非农产品出口达到近30年来的最好水平，出口到中国的铁矿石和煤炭在12个月内首次帮助其实现贸易顺差。</w:t>
      </w:r>
    </w:p>
    <w:p>
      <w:r>
        <w:t xml:space="preserve">澳大利亚统计局今天在悉尼宣布，非农产品的出货量比3月大幅上升18.4%，达到148亿澳元（约合125亿美元），是自1982年5月以来的最大增幅。经常项目出人意料地从调整后的20.4亿澳元赤字，猛增至盈余1.34亿澳元。而彭博调查的19位经济学家此前给出的中值预测则是8亿澳元出口赤字。</w:t>
      </w:r>
    </w:p>
    <w:p>
      <w:r>
        <w:t xml:space="preserve">澳大利亚的矿产丰富，再加之毗邻中国的优势，促进了经济扩张，央行预计，未来两年的出口量将翻一番。这也促使澳洲央行主席格伦·史蒂文斯（Glenn Stevens）在本周的犹豫不绝之后，决定于今年晚些时候恢复实施20国集团中最激进的一轮加息举措。</w:t>
      </w:r>
    </w:p>
    <w:p>
      <w:r>
        <w:t xml:space="preserve">“我们是以中国为主的亚洲发展的重大受益者，亚洲对于澳大利亚非常重要，”野村公司驻澳大利亚悉尼的分析师斯蒂芬·罗伯茨（Stephen Roberts）这样认为。他是三位预测盈余的资深经济学家中的一位。</w:t>
      </w:r>
    </w:p>
    <w:p>
      <w:r>
        <w:t xml:space="preserve">今天的报告显示，包括农产品在内的出口已增长11个百分点，达到227亿澳元。包括铁矿石的金属矿砂出口上升25%，煤炭出口上升40%。4月份的进口量维持不变，仍为225亿澳元。</w:t>
      </w:r>
    </w:p>
    <w:p>
      <w:r>
        <w:t xml:space="preserve">据澳洲央行预测，在未来10年内，受到越来越多来自亚洲的需求的刺激，澳大利亚的资源投资热潮仍将持续。</w:t>
      </w:r>
    </w:p>
    <w:p>
      <w:hyperlink r:id="rId39">
        <w:r>
          <w:rPr>
            <w:rStyle w:val="Link"/>
          </w:rPr>
          <w:t xml:space="preserve">来源：网易财经</w:t>
        </w:r>
      </w:hyperlink>
    </w:p>
    <w:p>
      <w:pPr>
        <w:pStyle w:val="Heading2"/>
      </w:pPr>
      <w:bookmarkStart w:id="40" w:name="其他-others"/>
      <w:bookmarkEnd w:id="40"/>
      <w:r>
        <w:t xml:space="preserve">其他 Others</w:t>
      </w:r>
    </w:p>
    <w:p>
      <w:pPr>
        <w:pStyle w:val="Heading3"/>
      </w:pPr>
      <w:bookmarkStart w:id="41" w:name="深圳经济特区内外一体化获批-范围扩大到全市"/>
      <w:bookmarkEnd w:id="41"/>
      <w:r>
        <w:t xml:space="preserve">深圳经济特区内外一体化获批 范围扩大到全市</w:t>
      </w:r>
    </w:p>
    <w:p>
      <w:r>
        <w:t xml:space="preserve">深圳市委书记、代市长王荣日前在该市政协五届一次会议发言时透露：深圳特区内外一体化方案已获国务院批准。王荣说，从今年7月1日起，深圳经济特区范围将扩大到深圳全市。</w:t>
      </w:r>
    </w:p>
    <w:p>
      <w:r>
        <w:t xml:space="preserve">1980年，国家从深圳市1952.84平方公里的总面积中划出327.5平方公里设立“深圳经济特区”，全长90.2公里的边防管理线将深圳“一分为二”，深圳市民们习惯将特区内的福田、罗湖、南山、盐田区统称为“关内”，将特区外的宝安、龙岗区以及光明、坪山新区统称为“关外”。</w:t>
      </w:r>
    </w:p>
    <w:p>
      <w:r>
        <w:t xml:space="preserve">据悉，深圳经济特区范围扩大后，暂时保留现有的特区管理线。今后视发展需要，由广东省和有关部门提出特区管理线处理办法，按程序报批。</w:t>
      </w:r>
    </w:p>
    <w:p>
      <w:r>
        <w:t xml:space="preserve">由于深圳经济特区拥有地方立法权，深圳多年在政策、规划、发展等方面都面临“一市两法”的尴尬。2008年11月，深圳上报综合配套改革总体方案，明确申报将深圳经济特区的范围扩大到全市。</w:t>
      </w:r>
    </w:p>
    <w:p>
      <w:r>
        <w:t xml:space="preserve">专家分析，特区一体化将终结“一市两法”，深圳的城市规划、产业布局、产业结构调整都将得到协调发展。中国（深圳）综合开发研究院的专家认为，深圳的“关内外一体化”将加强深圳与港澳的合作与发展。</w:t>
      </w:r>
    </w:p>
    <w:p>
      <w:hyperlink r:id="rId42">
        <w:r>
          <w:rPr>
            <w:rStyle w:val="Link"/>
          </w:rPr>
          <w:t xml:space="preserve">来源：搜狐</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3">
        <w:r>
          <w:rPr>
            <w:rStyle w:val="Link"/>
          </w:rPr>
          <w:t xml:space="preserve">unsubscribe@charltonslaw.com</w:t>
        </w:r>
      </w:hyperlink>
    </w:p>
    <w:p>
      <w:r>
        <w:rPr>
          <w:b/>
        </w:rPr>
        <w:t xml:space="preserve">易周律师行 - 法讯 - 中国 - 第341期 - 2010年06月07日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b6f72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cn.wsj.com/gb/20100603/bch085438.asp" TargetMode="External" /><Relationship Type="http://schemas.openxmlformats.org/officeDocument/2006/relationships/hyperlink" Id="rId34" Target="http://finance.ifeng.com/news/corporate/20100603/2273909.shtml" TargetMode="External" /><Relationship Type="http://schemas.openxmlformats.org/officeDocument/2006/relationships/hyperlink" Id="rId39" Target="http://money.163.com/10/0603/14/688RH75400252V5G.html" TargetMode="External" /><Relationship Type="http://schemas.openxmlformats.org/officeDocument/2006/relationships/hyperlink" Id="rId42" Target="http://news.sohu.com/20100602/n272504559.shtml" TargetMode="External" /><Relationship Type="http://schemas.openxmlformats.org/officeDocument/2006/relationships/hyperlink" Id="rId32" Target="http://overseas.caing.com/2010-06-03/100149845.html" TargetMode="External" /><Relationship Type="http://schemas.openxmlformats.org/officeDocument/2006/relationships/hyperlink" Id="rId21" Target="http://www.charltonslaw.com.cn/china-news-alerts-cn-issue-341/" TargetMode="External" /><Relationship Type="http://schemas.openxmlformats.org/officeDocument/2006/relationships/hyperlink" Id="rId30" Target="http://www.lrn.cn/media/financialNews/201005/t20100527_495902.htm" TargetMode="External" /><Relationship Type="http://schemas.openxmlformats.org/officeDocument/2006/relationships/hyperlink" Id="rId25" Target="http://yndt.bank.cnfol.com/100603/137,1410,7807281,00.shtml" TargetMode="External" /><Relationship Type="http://schemas.openxmlformats.org/officeDocument/2006/relationships/hyperlink" Id="rId4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7" Target="http://cn.wsj.com/gb/20100603/bch085438.asp" TargetMode="External" /><Relationship Type="http://schemas.openxmlformats.org/officeDocument/2006/relationships/hyperlink" Id="rId34" Target="http://finance.ifeng.com/news/corporate/20100603/2273909.shtml" TargetMode="External" /><Relationship Type="http://schemas.openxmlformats.org/officeDocument/2006/relationships/hyperlink" Id="rId39" Target="http://money.163.com/10/0603/14/688RH75400252V5G.html" TargetMode="External" /><Relationship Type="http://schemas.openxmlformats.org/officeDocument/2006/relationships/hyperlink" Id="rId42" Target="http://news.sohu.com/20100602/n272504559.shtml" TargetMode="External" /><Relationship Type="http://schemas.openxmlformats.org/officeDocument/2006/relationships/hyperlink" Id="rId32" Target="http://overseas.caing.com/2010-06-03/100149845.html" TargetMode="External" /><Relationship Type="http://schemas.openxmlformats.org/officeDocument/2006/relationships/hyperlink" Id="rId21" Target="http://www.charltonslaw.com.cn/china-news-alerts-cn-issue-341/" TargetMode="External" /><Relationship Type="http://schemas.openxmlformats.org/officeDocument/2006/relationships/hyperlink" Id="rId30" Target="http://www.lrn.cn/media/financialNews/201005/t20100527_495902.htm" TargetMode="External" /><Relationship Type="http://schemas.openxmlformats.org/officeDocument/2006/relationships/hyperlink" Id="rId25" Target="http://yndt.bank.cnfol.com/100603/137,1410,7807281,00.shtml" TargetMode="External" /><Relationship Type="http://schemas.openxmlformats.org/officeDocument/2006/relationships/hyperlink" Id="rId4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第341期 - 2010年06月07日</dc:title>
  <dc:creator/>
</cp:coreProperties>
</file>