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第342期</w:t>
      </w:r>
      <w:r>
        <w:t xml:space="preserve"> </w:t>
      </w:r>
      <w:r>
        <w:t xml:space="preserve">-</w:t>
      </w:r>
      <w:r>
        <w:t xml:space="preserve"> </w:t>
      </w:r>
      <w:r>
        <w:t xml:space="preserve">2010年06月14日</w:t>
      </w:r>
    </w:p>
    <w:p>
      <w:hyperlink r:id="rId21">
        <w:r>
          <w:rPr>
            <w:rStyle w:val="Link"/>
          </w:rPr>
          <w:t xml:space="preserve">网络版</w:t>
        </w:r>
      </w:hyperlink>
    </w:p>
    <w:p>
      <w:pPr>
        <w:pStyle w:val="Heading1"/>
      </w:pPr>
      <w:bookmarkStart w:id="22" w:name="法讯中国第342期"/>
      <w:bookmarkEnd w:id="22"/>
      <w:r>
        <w:t xml:space="preserve">法讯中国第342期</w:t>
      </w:r>
    </w:p>
    <w:p>
      <w:pPr>
        <w:pStyle w:val="Heading2"/>
      </w:pPr>
      <w:bookmarkStart w:id="23" w:name="资本市场-capital-markets"/>
      <w:bookmarkEnd w:id="23"/>
      <w:r>
        <w:t xml:space="preserve">资本市场 Capital Markets</w:t>
      </w:r>
    </w:p>
    <w:p>
      <w:pPr>
        <w:pStyle w:val="Heading3"/>
      </w:pPr>
      <w:bookmarkStart w:id="24" w:name="林毅夫中国二次探底风险小"/>
      <w:bookmarkEnd w:id="24"/>
      <w:r>
        <w:t xml:space="preserve">林毅夫:中国二次探底风险小</w:t>
      </w:r>
    </w:p>
    <w:p>
      <w:r>
        <w:t xml:space="preserve">世界银行高级副行长兼首席经济学家林毅夫指出,世界经济「二次探底」的可能性仍然存在,但中国经济增长势头强劲,通胀已得到有效遏制,出现二次探底的风险非常小。</w:t>
      </w:r>
    </w:p>
    <w:p>
      <w:r>
        <w:t xml:space="preserve">近期,中国多个省市陆续调高最低工资标准,引发各界对通胀的担忧。对此,林毅夫表示,此事将对通胀形成双重影响,既会提高出口成本,又会提升购买力并推动国内消费需求,总体上两者作用会相互抵消与平衡。对于内部环境,他认为,当前通胀已得到有效遏制,资产泡沫存在,但相信中国政府会展开相应政策调整。从外部环境看,欧洲是中国最大的出口伙伴,欧元区的问题虽对中国的直接影响较大,但鉴于中国政府拥有充裕的财政空间,「相信即使遭遇最糟糕的情况,中国也不会出现经济的二次探底」。</w:t>
      </w:r>
    </w:p>
    <w:p>
      <w:pPr>
        <w:pStyle w:val="Heading4"/>
      </w:pPr>
      <w:bookmarkStart w:id="25" w:name="世行上调中国gdp预测"/>
      <w:bookmarkEnd w:id="25"/>
      <w:r>
        <w:t xml:space="preserve">世行上调中国GDP预测</w:t>
      </w:r>
    </w:p>
    <w:p>
      <w:r>
        <w:t xml:space="preserve">此外,世界银行10日发布《2010全球经济展望》报告。报告调升了全球GDP增长预测,认为今明两年世界经济增幅将分别为2.9%与3.3%。报告亦将中国今年GDP增长预测由9%上调至9.5%。</w:t>
      </w:r>
    </w:p>
    <w:p>
      <w:r>
        <w:t xml:space="preserve">报告看好全球商品贸易前景,并指出美国和日本等发达经济体的复苏势头强于预期。世行预计今年全球商品贸易将回升21%左右。不过,世界银行全球宏观经济学部负责人安德鲁.伯恩斯表示,无论欧洲主权债务危机如何发展,均无法排除欧洲、中亚某些发展中国家出现第二轮金融危机的可能性。另外,当前欧洲债务危机的影响被遏制,但主权债务长期持续增加可能导致信贷更昂贵,进而减少发展中国家的投资并影响经济增长。</w:t>
      </w:r>
    </w:p>
    <w:p>
      <w:hyperlink r:id="rId26">
        <w:r>
          <w:rPr>
            <w:rStyle w:val="Link"/>
          </w:rPr>
          <w:t xml:space="preserve">来源：证券之星</w:t>
        </w:r>
      </w:hyperlink>
    </w:p>
    <w:p>
      <w:pPr>
        <w:pStyle w:val="Heading3"/>
      </w:pPr>
      <w:bookmarkStart w:id="27" w:name="外管局加强跨境资本流动监测"/>
      <w:bookmarkEnd w:id="27"/>
      <w:r>
        <w:t xml:space="preserve">外管局：加强跨境资本流动监测</w:t>
      </w:r>
    </w:p>
    <w:p>
      <w:r>
        <w:t xml:space="preserve">国家外汇管理局10日发布报告称，2010年将进一步加强跨境资本流动监测分析预警，有效防范资本流动冲击，维护国家经济金融安全。</w:t>
      </w:r>
    </w:p>
    <w:p>
      <w:r>
        <w:t xml:space="preserve">据新华社报道，国家外汇管理局发布的《中国外汇管理年报2009》说，2010年资本项目外汇管理工作将以提升管理、优化服务为核心，不断规范和完善资本项目外汇管理，促进贸易投资便利化；进一步加强跨境资本流动监测分析预警，有效防范资本流动冲击。</w:t>
      </w:r>
    </w:p>
    <w:p>
      <w:r>
        <w:t xml:space="preserve">国家外汇管理局同时表示，2010年将密切跟踪国际国内经济金融形势变化，加强对异常跨境资金流动的监测预警，有针对性地开展各类专项检查和调查；加大对地下钱庄、网络炒汇等外汇违法违规行为的打击力度；加强外汇管理政策和外汇检查工作的宣传；积极提升外汇检查手段，不断提高外汇检查工作的预见性、针对性、灵活性和有效性；继续推进外汇信用体系建设。</w:t>
      </w:r>
    </w:p>
    <w:p>
      <w:r>
        <w:t xml:space="preserve">在外汇储备经营管理方面，报告称，将采取积极审慎的经营方针，大力防范各类风险，深入研判国际经济金融形势的发展变化，努力把握投资机会，拓展投资渠道，完善多元化投资策略，优化货币和资产摆布。进一步完善外汇储备经营管理体制机制，继续推进全球化经营布局，加强内部控制和监督管理。加大人才引进和培养力度。</w:t>
      </w:r>
    </w:p>
    <w:p>
      <w:r>
        <w:t xml:space="preserve">另据一财网报道，国家外汇管理局副局长王小奕表示，跨境资本流动的渠道和形势日趋复杂和多样，防控套利资本流入，确保金融安全稳定，是现阶段外汇管理工作的主线。</w:t>
      </w:r>
    </w:p>
    <w:p>
      <w:r>
        <w:t xml:space="preserve">王小奕指出，外汇管理部门需加强与政府有关监管部门的协作，及时根据风险、渠道和规模的变化，调整管理的方向和力度。</w:t>
      </w:r>
    </w:p>
    <w:p>
      <w:r>
        <w:t xml:space="preserve">他同时强调，要通过完善国际收支监测预警系统，把握资本流动状况。</w:t>
      </w:r>
    </w:p>
    <w:p>
      <w:r>
        <w:t xml:space="preserve">外管局5月公布的季度国际收支平衡表显示，一季度我国国际收支经常项目、资本和金融项目呈现“双顺差”，资本净流入压力增大。</w:t>
      </w:r>
    </w:p>
    <w:p>
      <w:hyperlink r:id="rId28">
        <w:r>
          <w:rPr>
            <w:rStyle w:val="Link"/>
          </w:rPr>
          <w:t xml:space="preserve">来源: 中金在线</w:t>
        </w:r>
      </w:hyperlink>
    </w:p>
    <w:p>
      <w:pPr>
        <w:pStyle w:val="Heading3"/>
      </w:pPr>
      <w:bookmarkStart w:id="29" w:name="中国贸易好转报道提振欧美股市"/>
      <w:bookmarkEnd w:id="29"/>
      <w:r>
        <w:t xml:space="preserve">中国贸易好转报道提振欧美股市</w:t>
      </w:r>
    </w:p>
    <w:p>
      <w:r>
        <w:t xml:space="preserve">欧美股市昨日上涨，因投资者受到一篇有关中国贸易数据好转的报道的鼓舞，并减轻了对欧元区债务问题的担忧。</w:t>
      </w:r>
    </w:p>
    <w:p>
      <w:r>
        <w:t xml:space="preserve">随着大宗商品、信贷以及欧元走高，主要市场的风险兴趣上升，而国债和金价削减了涨幅。</w:t>
      </w:r>
    </w:p>
    <w:p>
      <w:r>
        <w:t xml:space="preserve">路透(Reuters)报道称，一中国官员称，5月出口数据显示同比增长50%，超出了32%的增幅预期。投资者认为出口飙升表明，由于采取财政紧缩举措而导致的欧洲经济放缓，可能不致影响全球增长。</w:t>
      </w:r>
    </w:p>
    <w:p>
      <w:r>
        <w:t xml:space="preserve">然而国际货币基金组织(IMF)的一位官员告诫称，全球经济的风险已大幅上升，而政府支持增长的工具有限。</w:t>
      </w:r>
    </w:p>
    <w:p>
      <w:r>
        <w:t xml:space="preserve">瑞银证券(UBS Securities)策略师威廉?奥唐奈(Bill O'Donnell)表示：“主权债务担忧就像水面下的有毒浮油那样挥之不去。”</w:t>
      </w:r>
    </w:p>
    <w:p>
      <w:r>
        <w:t xml:space="preserve">然而，美联储(Fed)主席本?伯南克(Ben Bernanke)在国会作证时，强调了美国经济一些积极的方面，但他表示，“显著局限复苏速度的因素仍然存在。”</w:t>
      </w:r>
    </w:p>
    <w:p>
      <w:r>
        <w:t xml:space="preserve">至于欧元区债务问题，伯南克表示：“如果市场继续企稳，那么危机对美国经济增长的影响似乎可能是温和的。”</w:t>
      </w:r>
    </w:p>
    <w:p>
      <w:r>
        <w:t xml:space="preserve">CRT Capital策略师伊恩?林詹(Ian Lyngen)表示：“伯南克在证词中没有给人们带来意外，他关注于应对联邦赤字的必要性，并强调美联储将采取‘必要'措施促进增长。”</w:t>
      </w:r>
    </w:p>
    <w:p>
      <w:hyperlink r:id="rId30">
        <w:r>
          <w:rPr>
            <w:rStyle w:val="Link"/>
          </w:rPr>
          <w:t xml:space="preserve">来源：FT 中文网</w:t>
        </w:r>
      </w:hyperlink>
    </w:p>
    <w:p>
      <w:pPr>
        <w:pStyle w:val="Heading2"/>
      </w:pPr>
      <w:bookmarkStart w:id="31" w:name="公司与商业-corporate-commercial"/>
      <w:bookmarkEnd w:id="31"/>
      <w:r>
        <w:t xml:space="preserve">公司与商业 Corporate &amp; Commercial</w:t>
      </w:r>
    </w:p>
    <w:p>
      <w:pPr>
        <w:pStyle w:val="Heading3"/>
      </w:pPr>
      <w:bookmarkStart w:id="32" w:name="乌每年供气100亿立方米"/>
      <w:bookmarkEnd w:id="32"/>
      <w:r>
        <w:t xml:space="preserve">乌每年供气100亿立方米</w:t>
      </w:r>
    </w:p>
    <w:p>
      <w:r>
        <w:t xml:space="preserve">新华社北京6月10日电中国石油天然气集团公司10日宣布，已与乌兹别克斯坦国家油气公司签天然气购销框架协议，乌兹别克斯坦将向中国每年供应100亿立方米天然气。</w:t>
      </w:r>
    </w:p>
    <w:p>
      <w:r>
        <w:t xml:space="preserve">根据签署的关于天然气购销的框架协议，乌兹别克斯坦将向中国每年供应天然气100亿立方米。中乌双方将采取积极措施，实现乌兹别克斯坦管道输气系统与中乌天然气管道系统相连接。中乌天然气管道是中亚天然气管道的一部分，这条管道已于2009年12月实现单线投产通气。</w:t>
      </w:r>
    </w:p>
    <w:p>
      <w:r>
        <w:t xml:space="preserve">中国－中亚天然气管道西起土库曼斯坦和乌兹别克斯坦边境，穿越乌兹别克斯坦中部和哈萨克斯坦南部地区，在新疆霍尔果斯入境后与西气东输二线相连，全长1833公里，目前确定的气源还包括土库曼斯坦每年300亿立方米天然气。</w:t>
      </w:r>
    </w:p>
    <w:p>
      <w:pPr>
        <w:pStyle w:val="Heading4"/>
      </w:pPr>
      <w:bookmarkStart w:id="33" w:name="中国天然气对外依存度上升"/>
      <w:bookmarkEnd w:id="33"/>
      <w:r>
        <w:t xml:space="preserve">中国天然气对外依存度上升</w:t>
      </w:r>
    </w:p>
    <w:p>
      <w:r>
        <w:t xml:space="preserve">本报北京6月9日电记者最近获悉，今年前4月，中国天然气表观消费量(产量加净进口量)达到351.4亿立方米，同比上涨22.8%，这也是中国天然气表观消费量增速首次突破20%。与去年同期相比，中国天然气的对外依存度从7.7%上至12.8%。</w:t>
      </w:r>
    </w:p>
    <w:p>
      <w:r>
        <w:t xml:space="preserve">1至4月，中国生产天然气318.9亿立方米，同比增加13.1%，增速较为平稳。同期，由于中亚天然气管道的贯通，中国进口天然气达45.1亿立方米，比去年同期剧增206.1%。我国自2006年成为天然气净进口国，进口数量逐年增加。2009年，天然气表观消费量达900亿立方米，其中进口78亿立方米，对外依存度超过8%，预计今年天然气进口量会超过150亿立方米。</w:t>
      </w:r>
    </w:p>
    <w:p>
      <w:r>
        <w:t xml:space="preserve">预计到2020年，中国的天然气消费量将接近3000亿立方米；在一次能源消费中所占比例，将由去年的3.9%上升到8%-10%。</w:t>
      </w:r>
    </w:p>
    <w:p>
      <w:hyperlink r:id="rId34">
        <w:r>
          <w:rPr>
            <w:rStyle w:val="Link"/>
          </w:rPr>
          <w:t xml:space="preserve">来源：网易</w:t>
        </w:r>
      </w:hyperlink>
    </w:p>
    <w:p>
      <w:pPr>
        <w:pStyle w:val="Heading3"/>
      </w:pPr>
      <w:bookmarkStart w:id="35" w:name="个人所得税剑指高收入者-专家称或缩小贫富差距"/>
      <w:bookmarkEnd w:id="35"/>
      <w:r>
        <w:t xml:space="preserve">个人所得税"剑指"高收入者 专家称或缩小贫富差距</w:t>
      </w:r>
    </w:p>
    <w:p>
      <w:r>
        <w:t xml:space="preserve">中新浙江网6月11日电 (记者 成效伟 见习记者 沈兰 实习生 余哲)“加强对企业老板、炒房客、外籍人士等的个税征收是应该的。”6月9日，中国税务总局发布的一则《关于进一步加强高收入者个人所得税征收管理的通知》(简称《通知》)，要求加强对高收入人群的个税征收管理，引发各路人士的口水之战。</w:t>
      </w:r>
    </w:p>
    <w:p>
      <w:r>
        <w:t xml:space="preserve">《通知》锁定五类重点加强征管的项目：加强财产转让所得征收管理；加强利息、股息、红利所得征收管理；加强规模较大的个人独资企业、合伙企业和个体工商户的生产、经营所得征收管理；加强劳务报酬所得征收管理和工资、薪金所得比对管理；加强外籍个人取得所得的征收管理。</w:t>
      </w:r>
    </w:p>
    <w:p>
      <w:pPr>
        <w:pStyle w:val="Heading4"/>
      </w:pPr>
      <w:bookmarkStart w:id="36" w:name="强化征管高收入个税收紧"/>
      <w:bookmarkEnd w:id="36"/>
      <w:r>
        <w:t xml:space="preserve">强化征管高收入个税收紧</w:t>
      </w:r>
    </w:p>
    <w:p>
      <w:r>
        <w:t xml:space="preserve">“由于国内的高收入者所得来源不一，所得形式多样，为进一步加强税源监控和税收征管，强化对高收入的调节力度，《通知》将力求解决高收入者个人所得税征管中出现的新情况和新问题，进一步发挥税收调节收入分配的作用。”中国税务总局有关负责人在《通知》下发后表示。</w:t>
      </w:r>
    </w:p>
    <w:p>
      <w:r>
        <w:t xml:space="preserve">“《通知》中还提到高收入者的主要所得项目，国家税务机关将根据其性质和特点，按照相关税收法律法规的规定，分别采取有针对性的措施，强化个人所得税征管。”上述负责人表示，此次《通知》的出台主要是为了缓解当前个人收入差距扩大的问题。</w:t>
      </w:r>
    </w:p>
    <w:p>
      <w:r>
        <w:t xml:space="preserve">据了解，近年来，随着中国经济的快速发展，城乡居民收入水平不断提高，个人收入差距扩大的矛盾也日益突出。据国家统计局数据显示，目前，中国基尼系数为0.5左右，已超过了国际惯例的警戒线，中国的收入分配差距正在不断扩大。</w:t>
      </w:r>
    </w:p>
    <w:p>
      <w:r>
        <w:t xml:space="preserve">而与中国个人所得税制度改革的“后知后觉”相比，国外对个税的征收在秉承公平的同时，对富人纳税有更苛刻的要求。早在1969年，美国就通过了针对高收入人群上缴税收的“变通最低税”法案，纳税的主体是那些年收入10万美元以上的群体，这些人缴纳的税款占全部个人税收总额的60%以上。</w:t>
      </w:r>
    </w:p>
    <w:p>
      <w:r>
        <w:t xml:space="preserve">“一些西方国家每年巨大的财政收入主要来源于占人口少数的富人阶层，而不是占纳税总人数绝大部分的普通工薪阶层。”有关专家认为，此次国家税务总局《通知》的出台，不仅要通过加强征管的方式调节收入分配，还要通过一定的个税改革减少收入分配差距，比如调节税率级次和税率水平也可以一定程度上增加高收入者的个税负担，进而使收入分配趋于公平。</w:t>
      </w:r>
    </w:p>
    <w:p>
      <w:pPr>
        <w:pStyle w:val="Heading4"/>
      </w:pPr>
      <w:bookmarkStart w:id="37" w:name="一刀切或打击部分人群积极性-高收入人群界定引争议"/>
      <w:bookmarkEnd w:id="37"/>
      <w:r>
        <w:t xml:space="preserve">“一刀切”或打击部分人群积极性？ 高收入人群界定引争议</w:t>
      </w:r>
    </w:p>
    <w:p>
      <w:r>
        <w:t xml:space="preserve">据中国税务总局统计数据显示，年所得12万元以上纳税人每年缴纳税款占个人所得税当年收入的1/3左右，而且这个比例在逐年上升。</w:t>
      </w:r>
    </w:p>
    <w:p>
      <w:r>
        <w:t xml:space="preserve">“我们企业每年要向国家缴纳税款上百万元。”在浙江绍兴经营纺织印染企业的周先生表示，富人承担更多的社会责任是理所应当的。对于社会责任，周先生的看法是“多为国家纳税，回报社会”。</w:t>
      </w:r>
    </w:p>
    <w:p>
      <w:r>
        <w:t xml:space="preserve">但记者在采访中发现，对于众多的工薪族来说，12万元的申报线让他们觉得新近出台的《通知》有欠公平。</w:t>
      </w:r>
    </w:p>
    <w:p>
      <w:r>
        <w:t xml:space="preserve">杭州一家外资企业的高管沈先生告诉记者，他平均每个月收入能达到2万元左右，照理说日子可以过得很滋润。但不久前收到的一张缴税对账单却让他很苦恼。“一年时间竟然纳税近5万元，对于像我们这样的工薪族来说真的不公平。我老家在河北，去年在杭州买房，现在月还贷7000多元，再加上生活花销，每个月很难剩下多少钱。”</w:t>
      </w:r>
    </w:p>
    <w:p>
      <w:r>
        <w:t xml:space="preserve">“政府职能部门应该真正明确到底什么才是高收入，对像他们这样的工薪族区别对待。中国各阶层的收入无法纳入一个统一体系，决策部门也无法把握每一个阶层的收入水平，对于‘高收入人群’的界定确实是一个难题。”沈先生举例，有些老板确实是高收入，而实际连“中产”都够不上，交税却成了“高收入”。</w:t>
      </w:r>
    </w:p>
    <w:p>
      <w:r>
        <w:t xml:space="preserve">对此，浙江财经学院法学院院长韩灵丽教授则不认同。她认为，《通知》在强化高收入者个税征收的同时却忽略了具体家庭的具体情况。“当前我国的‘中产阶级’人数不多，这样的‘一刀切’会打击一部分人的积极性，将对他们日后的生活工作会产生负面影响。”</w:t>
      </w:r>
    </w:p>
    <w:p>
      <w:pPr>
        <w:pStyle w:val="Heading4"/>
      </w:pPr>
      <w:bookmarkStart w:id="38" w:name="收入分配改革刻不容缓-有人欢喜有人忧"/>
      <w:bookmarkEnd w:id="38"/>
      <w:r>
        <w:t xml:space="preserve">收入分配改革刻不容缓 有人欢喜有人忧</w:t>
      </w:r>
    </w:p>
    <w:p>
      <w:r>
        <w:t xml:space="preserve">有调查显示，中国10%最高收入群体与10%最低收入群体之间相差23倍，少数企业高管薪酬水平与社会平均工资相差上百倍，而个别企业高管的天价薪酬竟是社会平均工资的上千倍。</w:t>
      </w:r>
    </w:p>
    <w:p>
      <w:r>
        <w:t xml:space="preserve">“中国的高低收入群体收入差距过大已经造成严重的社会矛盾。”韩灵丽直言，当前中国的收入分配已到了不得不改革的关键时期。</w:t>
      </w:r>
    </w:p>
    <w:p>
      <w:r>
        <w:t xml:space="preserve">“这可能是国家收入分配制度改革的一部分，合理的收入分配制度是社会公平正义的重要体现，而税收制度恰恰是收入分配制度的一部分。推进社会公平正义是我们每个人都应当承担的社会责任。”中国律师精英网首席律师尹富强也认为《通知》的下发表明政府在收入分配改革方面的决心。</w:t>
      </w:r>
    </w:p>
    <w:p>
      <w:r>
        <w:t xml:space="preserve">“这是一个很好的决策，有利于缓和如今越拉越大的贫富差距。”浙江智仁律师事务所律师谷光辉表示，国家强化高收入者个税征收是十分必要的。</w:t>
      </w:r>
    </w:p>
    <w:p>
      <w:r>
        <w:t xml:space="preserve">全国人大代表、娃哈哈董事长宗庆后作为2010年福布斯排行榜中国内地首富，他认为合理的一次分配是合理的国民收入分配结构的基础。只有提高个税的起征点，才能逐步培养一批中产阶级，使老百姓的生活水平得到提高。</w:t>
      </w:r>
    </w:p>
    <w:p>
      <w:r>
        <w:t xml:space="preserve">与一些专家所见不同，韩灵丽教授则认为，此次国家强化高收入者个税征收在短期内会取得明显的效果。通过税收杠杆可以调节国家的收入分配，增加国家的财政收入。但从长远来看，《通知》会带来一些负面影响。只有国家创造环境老百姓才能创造财富，如果长期实行这样的税收政策，作为真正高收入者的民营经济的创业积极性也会受到影响，对普通老百姓亦是如此。</w:t>
      </w:r>
    </w:p>
    <w:p>
      <w:r>
        <w:t xml:space="preserve">韩灵丽最后表示，国家的收入分配改革是一项系统工程，税收的调节作用必不可少，但更应从宏观角度，尽量避免政府的强制干预，通过市场方式解决主要问题。</w:t>
      </w:r>
    </w:p>
    <w:p>
      <w:hyperlink r:id="rId39">
        <w:r>
          <w:rPr>
            <w:rStyle w:val="Link"/>
          </w:rPr>
          <w:t xml:space="preserve">来源：浙江新闻网</w:t>
        </w:r>
      </w:hyperlink>
    </w:p>
    <w:p>
      <w:pPr>
        <w:pStyle w:val="Heading3"/>
      </w:pPr>
      <w:bookmarkStart w:id="40" w:name="中国民航业建议欧盟取消对华碳排放收费"/>
      <w:bookmarkEnd w:id="40"/>
      <w:r>
        <w:t xml:space="preserve">中国民航业建议欧盟取消对华碳排放收费</w:t>
      </w:r>
    </w:p>
    <w:p>
      <w:r>
        <w:t xml:space="preserve">“中国等发展中国家在限制碳排放方面，应该享受区别对待政策，不能和欧盟等国家实施同一标准，这样做对发展中国家不公平，不利于促进全球民航业的发展。”昨日，国际航协理事会第１９１次会议在德国柏林召开，中国民航业者在会议上发出集体倡议，希望欧盟取消对发展中国家碳排放的收费。</w:t>
      </w:r>
    </w:p>
    <w:p>
      <w:r>
        <w:t xml:space="preserve">２００８年７月，欧盟单方面立法，从２０１２年起，所有在欧盟机场起降的航空班机二氧化碳排放量免费额度按比例进行分配，其余部分通过拍卖方式有偿分配，即凡是飞往欧盟的飞机，征收碳排放费用。</w:t>
      </w:r>
    </w:p>
    <w:p>
      <w:r>
        <w:t xml:space="preserve">据测算，中国民航业仅２０１２年一年将向欧盟支付约８亿元人民币，２０２０年超过３０亿元人民币，９年累计支出约１７６亿元人民币。中国飞往欧洲的航班每天增加一班，一年将增加１５００万元人民币的额外成本支付。</w:t>
      </w:r>
    </w:p>
    <w:p>
      <w:r>
        <w:t xml:space="preserve">针对欧盟的以上限制措施，民航局节能减排办公室有关负责人对记者表示：“中国等发展中国家在限制二氧化碳排放方面，坚持《联合国气候变化框架公约》及其《京都议定书》确定的‘共同但有区别责任’及各自能力的原则，理应享受区别对待的政策。”</w:t>
      </w:r>
    </w:p>
    <w:p>
      <w:r>
        <w:t xml:space="preserve">国际航协理事、东航董事长刘绍勇在接受记者采访时也提出了同样的观点。刘绍勇表示，中国等发展中国家的民航业正处于高速发展中，建议欧盟取消对发展中国家碳排放的收费，以免抑制发展中国家民航业的成长，进而影响全球民航业的均衡发展。</w:t>
      </w:r>
    </w:p>
    <w:p>
      <w:r>
        <w:t xml:space="preserve">此外，飞往欧盟的飞机并不全是飞行在全欧盟境内，却收取全程费用，也是不合理的。刘绍勇举例说，如上海飞往伦敦的航班，在欧盟境内的飞行距离不到总路程的４０％，却等同于全部在欧盟排放收费。欧盟收取费用是为了改善欧盟环境，而不是用于改善全球的环境。</w:t>
      </w:r>
    </w:p>
    <w:p>
      <w:hyperlink r:id="rId41">
        <w:r>
          <w:rPr>
            <w:rStyle w:val="Link"/>
          </w:rPr>
          <w:t xml:space="preserve">来源： 搜狐</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2">
        <w:r>
          <w:rPr>
            <w:rStyle w:val="Link"/>
          </w:rPr>
          <w:t xml:space="preserve">unsubscribe@charltonslaw.com</w:t>
        </w:r>
      </w:hyperlink>
    </w:p>
    <w:p>
      <w:r>
        <w:rPr>
          <w:b/>
        </w:rPr>
        <w:t xml:space="preserve">易周律师行 - 法讯 - 中国 - 第342期 - 2010年06月14日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3c3c854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4" Target="http://news.163.com/10/0611/10/68T1BJU700014AED.html" TargetMode="External" /><Relationship Type="http://schemas.openxmlformats.org/officeDocument/2006/relationships/hyperlink" Id="rId28" Target="http://news.cnfol.com/100611/101,1280,7849391,00.shtml" TargetMode="External" /><Relationship Type="http://schemas.openxmlformats.org/officeDocument/2006/relationships/hyperlink" Id="rId26" Target="http://news.stockstar.com/info/darticle.aspx?id=JL,20100611,00000956" TargetMode="External" /><Relationship Type="http://schemas.openxmlformats.org/officeDocument/2006/relationships/hyperlink" Id="rId39" Target="http://news.zj.com/detail/1273794.shtml" TargetMode="External" /><Relationship Type="http://schemas.openxmlformats.org/officeDocument/2006/relationships/hyperlink" Id="rId41" Target="http://stock.sohu.com/20100607/n272619964.shtml" TargetMode="External" /><Relationship Type="http://schemas.openxmlformats.org/officeDocument/2006/relationships/hyperlink" Id="rId21" Target="http://www.charltonslaw.com.cn/china-news-alerts-cn-issue-342/" TargetMode="External" /><Relationship Type="http://schemas.openxmlformats.org/officeDocument/2006/relationships/hyperlink" Id="rId30" Target="http://www.ftchinese.com/story/001033043" TargetMode="External" /><Relationship Type="http://schemas.openxmlformats.org/officeDocument/2006/relationships/hyperlink" Id="rId42"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34" Target="http://news.163.com/10/0611/10/68T1BJU700014AED.html" TargetMode="External" /><Relationship Type="http://schemas.openxmlformats.org/officeDocument/2006/relationships/hyperlink" Id="rId28" Target="http://news.cnfol.com/100611/101,1280,7849391,00.shtml" TargetMode="External" /><Relationship Type="http://schemas.openxmlformats.org/officeDocument/2006/relationships/hyperlink" Id="rId26" Target="http://news.stockstar.com/info/darticle.aspx?id=JL,20100611,00000956" TargetMode="External" /><Relationship Type="http://schemas.openxmlformats.org/officeDocument/2006/relationships/hyperlink" Id="rId39" Target="http://news.zj.com/detail/1273794.shtml" TargetMode="External" /><Relationship Type="http://schemas.openxmlformats.org/officeDocument/2006/relationships/hyperlink" Id="rId41" Target="http://stock.sohu.com/20100607/n272619964.shtml" TargetMode="External" /><Relationship Type="http://schemas.openxmlformats.org/officeDocument/2006/relationships/hyperlink" Id="rId21" Target="http://www.charltonslaw.com.cn/china-news-alerts-cn-issue-342/" TargetMode="External" /><Relationship Type="http://schemas.openxmlformats.org/officeDocument/2006/relationships/hyperlink" Id="rId30" Target="http://www.ftchinese.com/story/001033043" TargetMode="External" /><Relationship Type="http://schemas.openxmlformats.org/officeDocument/2006/relationships/hyperlink" Id="rId42"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第342期 - 2010年06月14日</dc:title>
  <dc:creator/>
</cp:coreProperties>
</file>