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第343期</w:t>
      </w:r>
      <w:r>
        <w:t xml:space="preserve"> </w:t>
      </w:r>
      <w:r>
        <w:t xml:space="preserve">-</w:t>
      </w:r>
      <w:r>
        <w:t xml:space="preserve"> </w:t>
      </w:r>
      <w:r>
        <w:t xml:space="preserve">2010年06月21日</w:t>
      </w:r>
    </w:p>
    <w:p>
      <w:hyperlink r:id="rId21">
        <w:r>
          <w:rPr>
            <w:rStyle w:val="Link"/>
          </w:rPr>
          <w:t xml:space="preserve">网络版</w:t>
        </w:r>
      </w:hyperlink>
    </w:p>
    <w:p>
      <w:pPr>
        <w:pStyle w:val="Heading1"/>
      </w:pPr>
      <w:bookmarkStart w:id="22" w:name="法讯中国第343期"/>
      <w:bookmarkEnd w:id="22"/>
      <w:r>
        <w:t xml:space="preserve">法讯中国第343期</w:t>
      </w:r>
    </w:p>
    <w:p>
      <w:pPr>
        <w:pStyle w:val="Heading2"/>
      </w:pPr>
      <w:bookmarkStart w:id="23" w:name="资本市场-capital-markets"/>
      <w:bookmarkEnd w:id="23"/>
      <w:r>
        <w:t xml:space="preserve">资本市场 Capital Markets</w:t>
      </w:r>
    </w:p>
    <w:p>
      <w:pPr>
        <w:pStyle w:val="Heading3"/>
      </w:pPr>
      <w:bookmarkStart w:id="24" w:name="中国连续两月增持美国国债-持有量再破9千亿大关"/>
      <w:bookmarkEnd w:id="24"/>
      <w:r>
        <w:t xml:space="preserve">中国连续两月增持美国国债 持有量再破9千亿大关</w:t>
      </w:r>
    </w:p>
    <w:p>
      <w:r>
        <w:t xml:space="preserve">美国财政部15日公布的数据显示，4月份中国持有的美国国债总额达到9002亿美元，较上月增持50亿美元。这是中国连续第二个月增持美国国债，也是中国自去年11月以来持有美国国债总额首次突破9000亿大关。</w:t>
      </w:r>
    </w:p>
    <w:p>
      <w:r>
        <w:t xml:space="preserve">从数据看，自2009年4月以来的一年之内，中国持有美国国债共经历了五次减持、六次增持，还有一次持平。其中，2009年8月中国一年来首次减持了34亿美元美国国债。此后，从2009年11月开始到2010年2月，中国连续4个月减持美国国债，特别是2009年12月减持了幅度最大的342亿美元，使得保持了半年的9千亿以上的持有量首次降至9千亿以下。</w:t>
      </w:r>
    </w:p>
    <w:p>
      <w:r>
        <w:t xml:space="preserve">尽管中国持有美国国债时有增减，但持有总量总体处于上升趋势。一年之内，中国持有美国国债增加了1367亿美元，一直是美国国债的最大持有国。对于买进和卖出美国国债，中方已多次表示这是正常的市场投资行为，不希望将其政治化。中国国务院总理温家宝曾指出，中国对外汇储备的要求首先是安全，其次是流动，第三是保值增值。</w:t>
      </w:r>
    </w:p>
    <w:p>
      <w:r>
        <w:t xml:space="preserve">数据还显示，截至今年4月底，外国债权人持有的美国国债总额达到3.96万亿美元，较上月增加1.87%。其中第二大债权国日本四月份也增持了美国国债，持有量由3月份的7849亿美元升至7955亿美元；第三大债权国英国持有美国国债则大幅增加422亿美元，达到3212亿美元。</w:t>
      </w:r>
    </w:p>
    <w:p>
      <w:r>
        <w:t xml:space="preserve">有分析认为，在近几个月，诸如欧洲债务危机的加剧，使投资者转而选择相对更为安全的美国国债及票据作为避险投资。</w:t>
      </w:r>
    </w:p>
    <w:p>
      <w:hyperlink r:id="rId25">
        <w:r>
          <w:rPr>
            <w:rStyle w:val="Link"/>
          </w:rPr>
          <w:t xml:space="preserve">来源：搜狐财经</w:t>
        </w:r>
      </w:hyperlink>
    </w:p>
    <w:p>
      <w:pPr>
        <w:pStyle w:val="Heading3"/>
      </w:pPr>
      <w:bookmarkStart w:id="26" w:name="央行二季度调查显示企业家信心指数高位小幅回落"/>
      <w:bookmarkEnd w:id="26"/>
      <w:r>
        <w:t xml:space="preserve">央行二季度调查显示企业家信心指数高位小幅回落</w:t>
      </w:r>
    </w:p>
    <w:p>
      <w:r>
        <w:t xml:space="preserve">央行第二季度在全国进行的企业家问卷调查结果显示,企业家信心指数结束连续攀升势头,第二季度高位小幅回落,较第一季度下降0.5个百分点,达到83.9%。</w:t>
      </w:r>
    </w:p>
    <w:p>
      <w:r>
        <w:t xml:space="preserve">宏观经济热度指数连续第五个季度回升至48.4%,比第一季度回升2.4个百分点,增幅缩小0.3个百分点;宏观经济热度预期指数自2008年底以来首次低于宏观经济热度指数0.1个百分点,宏观经济快速升温出现放缓迹象。</w:t>
      </w:r>
    </w:p>
    <w:p>
      <w:r>
        <w:t xml:space="preserve">反映企业生产经营成本的生产资料价格指数与原材料购进价格指数同时出现较大增幅。其中,生产资料价格指数升至64.1%,比第一季度提高2.3个百分点;原材料购进价格指数达到66.2%,比第一季度提高3.1个百分点,均为2008年底以来的最高水平。</w:t>
      </w:r>
    </w:p>
    <w:p>
      <w:r>
        <w:t xml:space="preserve">调查显示,企业产品市场需求指数59%,较第一季度提高1.4个百分点,已连续四个季度进入景气区间。其中,国内订单和出口订单指数分别为54.4%和52.1%,比第一季度分别提高1.3个百分点和2.2个百分点。市场需求预期指数58.7%,比第一季度提高0.2个百分点,增幅明显放缓,特别是出口订单预期指数结束上升趋势,比第一季度小幅回调0.03个百分点。</w:t>
      </w:r>
    </w:p>
    <w:p>
      <w:r>
        <w:t xml:space="preserve">企业经营景气指数连续五个季度攀升,达到64.1%,接近2008年初的水平。企业家对企业总体经营状况良好的判断,主要来自于企业盈利能力的持续提高,企业盈利指数分别比第一季度和上年同期提高1.1个百分点和6.7个百分点,达57.5%。企业家对第三季度预期比较谨慎。企业经营景气预期指数结束了连续五个季度上升的局面,第二季度小幅下滑0.1个百分点至64.5%。</w:t>
      </w:r>
    </w:p>
    <w:p>
      <w:r>
        <w:t xml:space="preserve">企业贷款满意指数为42.6%,比第一季度下降0.5个百分点;贷款满意预期指数较第一季度下降0.8个百分点至41.6%;预期下季度信贷掌握“偏紧”的企业占比为18.1%,比第一季度提高1.5个百分点,为2009年以来的最高水平。</w:t>
      </w:r>
    </w:p>
    <w:p>
      <w:hyperlink r:id="rId27">
        <w:r>
          <w:rPr>
            <w:rStyle w:val="Link"/>
          </w:rPr>
          <w:t xml:space="preserve">来源：中国证券网</w:t>
        </w:r>
      </w:hyperlink>
    </w:p>
    <w:p>
      <w:pPr>
        <w:pStyle w:val="Heading3"/>
      </w:pPr>
      <w:bookmarkStart w:id="28" w:name="亿元地方债迎来发行日-银监会划定三红线"/>
      <w:bookmarkEnd w:id="28"/>
      <w:r>
        <w:t xml:space="preserve">438亿元地方债迎来发行日 银监会划定三红线</w:t>
      </w:r>
    </w:p>
    <w:p>
      <w:r>
        <w:t xml:space="preserve">不在沉寂了半年之后，最新市场消息称2010年地方政府债券于今日招标，包括新疆、青海等9个省(市、自治区)计划发行438亿元，其中3年期286亿元，5年期152亿元。在银监会紧抓地方融资平台的环境下，地方债的发行终于一定程度上缓解了融资需求。</w:t>
      </w:r>
    </w:p>
    <w:p>
      <w:pPr>
        <w:pStyle w:val="Heading4"/>
      </w:pPr>
      <w:bookmarkStart w:id="29" w:name="地方债缓解部分融资需求"/>
      <w:bookmarkEnd w:id="29"/>
      <w:r>
        <w:t xml:space="preserve">地方债缓解部分融资需求</w:t>
      </w:r>
    </w:p>
    <w:p>
      <w:r>
        <w:t xml:space="preserve">从此次地方债的发行地来看，中央政府仍在继续强力支持中西部发展。而对于地方政府而言，在地方融资平台的渠道被收紧后，各地的资金供给也比较紧张，但今年地方债的审批比去年更严格。</w:t>
      </w:r>
    </w:p>
    <w:p>
      <w:r>
        <w:t xml:space="preserve">有地方财政部门官员称，财政部今年对各地方分配的发债额度使用计划要先由预算司、经建司进行审批，而去年只是备案不用审批。地方上报的计划需要非常详尽的列出使用地方债的具体项目，使用进度等内容。</w:t>
      </w:r>
    </w:p>
    <w:p>
      <w:r>
        <w:t xml:space="preserve">本月13日，国务院下发了《国务院关于加强地方政府融资平台公司管理有关问题的通知》。明确地方各级政府不得以财政性收入、行政事业等单位的国有资产或其他任何直接、间接形式为融资平台公司融资行为提供担保。</w:t>
      </w:r>
    </w:p>
    <w:p>
      <w:r>
        <w:t xml:space="preserve">分析人士称，目前地方政府还本付息的压力很大，新增的融资需求也很多。“需求上升的同时融资渠道却被紧紧扼住，贷款艰难、地方政府融资平台又备受关注。虽然地方政府负债飙升，但地方政府融资瓶颈意味着发地方债是最好的解决方案。”资深财经评论人马红漫表示。</w:t>
      </w:r>
    </w:p>
    <w:p>
      <w:pPr>
        <w:pStyle w:val="Heading4"/>
      </w:pPr>
      <w:bookmarkStart w:id="30" w:name="部分银行新增贷款负增长"/>
      <w:bookmarkEnd w:id="30"/>
      <w:r>
        <w:t xml:space="preserve">部分银行新增贷款负增长</w:t>
      </w:r>
    </w:p>
    <w:p>
      <w:r>
        <w:t xml:space="preserve">而记者从市场面获悉，已经由少数股份制银行在人民币新增贷款项下出现了负增长。一位不愿意透露姓名的股份制银行负责人称，5月份该分行人民币新增贷款之所以为负增长，主要原因之一就在于一些地方融资平台贷款到期，而根据新政策，其中一部分不确定能否续期，另一部分则已经确定不能续期。</w:t>
      </w:r>
    </w:p>
    <w:p>
      <w:r>
        <w:t xml:space="preserve">“在建的地方融资平台项目后续资金需求占比又不高，而新上马的政府融资平台项目现在又严格控制进入。一进一出自然不能‘填窟窿’。”该人士表示。</w:t>
      </w:r>
    </w:p>
    <w:p>
      <w:r>
        <w:t xml:space="preserve">另一家银行小企业信贷部门人士则表示，由于政府项目通常资金量较大，均以数亿计，如果现在以中小企业贷款弥补这一到期的缺口，则需要很多的中小企业贷款需求储备，且实体企业贷款需求审批之后，这些企业也不一定能马上用款，也因此短时期内缺口难以完全回补：“与此同时，真正的实体经济又没有完全恢复，外需仍没有达到历史最高峰，企业不可能有过多增量需求。”</w:t>
      </w:r>
    </w:p>
    <w:p>
      <w:pPr>
        <w:pStyle w:val="Heading4"/>
      </w:pPr>
      <w:bookmarkStart w:id="31" w:name="银监会划定三红线"/>
      <w:bookmarkEnd w:id="31"/>
      <w:r>
        <w:t xml:space="preserve">银监会划定三红线</w:t>
      </w:r>
    </w:p>
    <w:p>
      <w:r>
        <w:t xml:space="preserve">对于地方平台融资相关方面仍然十分谨慎。国务院13日下发的通知要求地方各级政府要对融资平台公司债务进行一次全面清理，并按照分类管理、区别对待的原则，妥善处理债务偿还和在建项目后续融资问题。</w:t>
      </w:r>
    </w:p>
    <w:p>
      <w:r>
        <w:t xml:space="preserve">银监会在近日公布的2009年年报中也提到：“对银行业而言，虽然2010年经济发展环境可能好于2009年，但经济运行和银行风险管理工作中的新老矛盾互相交织，不确定因素较多，银行业稳健运行仍面临风险和挑战。”</w:t>
      </w:r>
    </w:p>
    <w:p>
      <w:r>
        <w:t xml:space="preserve">在这份报告中，银监会表现出了对于房地产贷款以及地方融资平台的信贷风险隐患的担忧，并对这两个领域加强了预警，要求银行业金融机构在地方融资平台贷款中牢牢把握住三红线，要求各大中型银行按季度进行房地产贷款压力测试。</w:t>
      </w:r>
    </w:p>
    <w:p>
      <w:r>
        <w:t xml:space="preserve">银监会的三条红线为——严禁发放打捆贷款；不得与地方政府签署无特定项目的大额授信合作协议；对出资不实，治理架构、内部控制、风险管理、资金管理运用制度不健全的融资平台，要严格限制贷款，并立即协商风险防范具体措施。</w:t>
      </w:r>
    </w:p>
    <w:p>
      <w:hyperlink r:id="rId32">
        <w:r>
          <w:rPr>
            <w:rStyle w:val="Link"/>
          </w:rPr>
          <w:t xml:space="preserve">来源：中国新闻网</w:t>
        </w:r>
      </w:hyperlink>
    </w:p>
    <w:p>
      <w:pPr>
        <w:pStyle w:val="Heading2"/>
      </w:pPr>
      <w:bookmarkStart w:id="33" w:name="公司corporate"/>
      <w:bookmarkEnd w:id="33"/>
      <w:r>
        <w:t xml:space="preserve">公司Corporate</w:t>
      </w:r>
    </w:p>
    <w:p>
      <w:pPr>
        <w:pStyle w:val="Heading3"/>
      </w:pPr>
      <w:bookmarkStart w:id="34" w:name="丰田天津关联工厂罢工工人复工"/>
      <w:bookmarkEnd w:id="34"/>
      <w:r>
        <w:t xml:space="preserve">丰田天津关联工厂罢工工人复工</w:t>
      </w:r>
    </w:p>
    <w:p>
      <w:r>
        <w:t xml:space="preserve">丰田汽车公司(Toyota Motor Corp.)在天津的一家关联零部件供应商本周早些时候发生少数工人罢工事件，罢工工人要求加薪，不过同意很快复工。</w:t>
      </w:r>
    </w:p>
    <w:p>
      <w:r>
        <w:t xml:space="preserve">丰田制造部门的一位高管说，这起事件没有造成全厂范围的全面罢工。他说，工厂运转正常，我们在中国的汽车生产设施从未受到影响。这家零部件生产商负责生产防水胶条。</w:t>
      </w:r>
    </w:p>
    <w:p>
      <w:r>
        <w:t xml:space="preserve">丰田遇上这次小规模劳资冲突前，中国南方发生了一系列罢工和其他事件，给日本本田汽车公司(Honda Motor Co.)和世界最大电子产品代工商鸿海精密工业股份有限公司(Hon Hai Precision Industry Co.)等企业造成了影响。</w:t>
      </w:r>
    </w:p>
    <w:p>
      <w:r>
        <w:t xml:space="preserve">丰田在天津的零部件供应厂由丰田的关联公司丰田合成(Toyoda Gosei Co.)持股51%。前述丰田高管要求匿名，他说，他相信这起事件的引发因素，是本田在华南的三家零部件工厂发生罢工后，罢工工人赢得了厂方的让步。</w:t>
      </w:r>
    </w:p>
    <w:p>
      <w:r>
        <w:t xml:space="preserve">丰田公司在丰田合成持股42%。丰田合成发言人Tomotaka Ito说，由于部分工人要求加薪，周二早晨公司运营暂停。但由于公司对这些工人说它将对他们的薪资进行评估，公司在周三恢复了运营。他说，周三是中国的公休日，但工厂为弥补失去的产量仍在开工。他说，丰田合成预计不会因为这次争端再次发生停工事件。</w:t>
      </w:r>
    </w:p>
    <w:p>
      <w:r>
        <w:t xml:space="preserve">但丰田公司的制造部门高管说，从中可以清楚地感觉到，不仅我们，全中国的工厂都将面临越来越多的加薪要求。</w:t>
      </w:r>
    </w:p>
    <w:p>
      <w:r>
        <w:t xml:space="preserve">他还说，自5月份一系列争端开始浮出水面以来，中国中央政府对罢工的态度相对宽容，这可能是鼓励工人向厂方施压的一个因素。在劳资纠纷引起关注之后，有关部门的惯常做法是出警制止，但在近期中国南方发生的纠纷中，他们一般都没有这样做。</w:t>
      </w:r>
    </w:p>
    <w:p>
      <w:r>
        <w:t xml:space="preserve">这位高管说，丰田在天津的汽车组装工厂周四运转正常。</w:t>
      </w:r>
    </w:p>
    <w:p>
      <w:r>
        <w:t xml:space="preserve">日本主要报章《朝日新闻》(Asahi Shimbun)曾在周四的晨版报道说，由于天津一家汽车零部件生产商发生罢工，丰田在这里的一家汽车组装工厂可能会停止运营。</w:t>
      </w:r>
    </w:p>
    <w:p>
      <w:hyperlink r:id="rId35">
        <w:r>
          <w:rPr>
            <w:rStyle w:val="Link"/>
          </w:rPr>
          <w:t xml:space="preserve">来源：华尔街日报</w:t>
        </w:r>
      </w:hyperlink>
    </w:p>
    <w:p>
      <w:pPr>
        <w:pStyle w:val="Heading3"/>
      </w:pPr>
      <w:bookmarkStart w:id="36" w:name="腾讯与思科签署合作备忘录建立战略合作伙伴关系"/>
      <w:bookmarkEnd w:id="36"/>
      <w:r>
        <w:t xml:space="preserve">腾讯与思科签署合作备忘录建立战略合作伙伴关系</w:t>
      </w:r>
    </w:p>
    <w:p>
      <w:r>
        <w:t xml:space="preserve">2010年6月17 日，中国最大的互联网综合服务提供商腾讯与全球领先的网络解决方案提供商思科在上海签署合作备忘录，双方将建立长期的战略合作伙伴关系。按照合作备忘录，腾讯和思科将发挥在各自领域的行业经验和平台优势，通过技术创新、成立联合团队和联合推广等方式打造以统一通信为基础的一站式企业互动平台，从而更好的推动本地创新，加速传统产业升级。</w:t>
      </w:r>
    </w:p>
    <w:p>
      <w:r>
        <w:t xml:space="preserve">作为全球领先的网络解决方案提供商，思科将通过与腾讯更紧密的合作推动统一通信概念在中国市场的深入，双方将进一步开拓、培育中国的企业级市场。作为中国最大的互联网企业，腾讯拥有亿级的海量用户、领先科技和丰富的互联网应用。腾讯与思科的合作将最大程度地挖掘双方潜能，将腾讯在个人互联网服务上的优势更好地延伸到企业，共同培育统一通信市场，加速中国传统企业的信息化升级。</w:t>
      </w:r>
    </w:p>
    <w:p>
      <w:r>
        <w:t xml:space="preserve">“作为思科在中国长期可持续发展战略的一部分，思科积极致力于与腾讯这样领先的本土企业进一步扩大及深化合作伙伴关系，” 思科董事会主席兼首席执行官约翰?钱伯斯表示，“通过思科的协作型创新模式，我们能更好的与中国企业分享全球最佳实践，并通过网络平台的巨大力量，以打造全新的商业模式，促进社会经济的全面协调发展。” 思科大中华区总裁兼首席执行官陈仕炜也表示：“今天，思科和腾讯合作备忘录的签署将成为思科在中国通过协作以实现激励本土创新、合作共赢的典范，腾讯公司的发展目标和思科在中国的长期发展战略非常契合。展望未来，双方将保持密切合作以实现双赢。”</w:t>
      </w:r>
    </w:p>
    <w:p>
      <w:r>
        <w:t xml:space="preserve">当前，中国政府正在大力推进工业化、信息化融合。腾讯与思科的强强联手不仅会让双方在高速发展的互联网行业受益，同时也将进一步加快信息化发展、推进融合。腾讯公司董事局主席兼首席执行官马化腾表示：“基于信息技术的绿色经济发展受到全球瞩目，当前也是中国信息化与工业化融合发展的重要时期。我们很高兴看到有越来越多的知名企业和腾讯一起投入到全球绿色经济发展和信息化建设中来，共同发挥着积极作用。腾讯拥有海量用户和领先的互联网技术，在为用户提供一站式在线生活平台的同时，也在企业服务领域进行了大量探索与创新，我们期待与思科的合作可以成为推动绿色经济发展的榜样。”腾讯公司总裁刘炽平也表示，“很高兴与思科达成长期战略合作。我们希望在双方优势互补的基础上，能更深入的挖掘针对企业级的互联网新技术和新模式，我们也期待通过双方的努力更好地帮助中国企业完成信息化转型，并顺利走上可持续发展通道。”</w:t>
      </w:r>
    </w:p>
    <w:p>
      <w:r>
        <w:t xml:space="preserve">根据合作备忘录，双方的合作将主要涵盖以下领域：</w:t>
      </w:r>
    </w:p>
    <w:p>
      <w:r>
        <w:t xml:space="preserve">统一通信</w:t>
      </w:r>
    </w:p>
    <w:p>
      <w:r>
        <w:t xml:space="preserve">思科和腾讯将联合开发基于统一通信的相关产品，通过为中国的企业和机构搭建高科技的统一通信平台来增强企业及机构，跟合作伙伴及客户的沟通与合作。与此同时，双方也将共同搭建渠道、培育市场将为中国市场提供基于统一通信平台的一站式解决方案。</w:t>
      </w:r>
    </w:p>
    <w:p>
      <w:r>
        <w:t xml:space="preserve">数据中心技术</w:t>
      </w:r>
    </w:p>
    <w:p>
      <w:r>
        <w:t xml:space="preserve">双方将讨论建立联合实验室，致力于更广泛的技术研究。该实验室将协助腾讯共同探索应对海量用户的数据存储需求，腾讯与思科将共同探讨并通过双方的努力制定基于服务器集群技大规模的网络平台，同时该平台未来也将满足更多中国互联网服务提供商的需要。</w:t>
      </w:r>
    </w:p>
    <w:p>
      <w:r>
        <w:t xml:space="preserve">市场拓展</w:t>
      </w:r>
    </w:p>
    <w:p>
      <w:r>
        <w:t xml:space="preserve">思科将分享其全球化市场运营经验，双方将共同探索全球一体化时代的市场机会。网络日益改变人们的生活，工作和娱乐，全球化和中国正在进行的两化整合对思科和腾讯创造了巨大的机会。双方将通过彼此合作来迎接变化，并向市场贡献独特价值。</w:t>
      </w:r>
    </w:p>
    <w:p>
      <w:hyperlink r:id="rId37">
        <w:r>
          <w:rPr>
            <w:rStyle w:val="Link"/>
          </w:rPr>
          <w:t xml:space="preserve">来源：Tech Web</w:t>
        </w:r>
      </w:hyperlink>
    </w:p>
    <w:p>
      <w:pPr>
        <w:pStyle w:val="Heading3"/>
      </w:pPr>
      <w:bookmarkStart w:id="38" w:name="美国经济危机过去了吗"/>
      <w:bookmarkEnd w:id="38"/>
      <w:r>
        <w:t xml:space="preserve">美国经济危机过去了吗</w:t>
      </w:r>
    </w:p>
    <w:p>
      <w:r>
        <w:t xml:space="preserve">欧洲国家出现债务危机，美国失业率虽然“轻微下跌”可依然高达9.7%，以及南美的石油泄漏事件等，都是经济的不安定因素。不过，许多经济学家认为即便如此，导致美国经济出现双底衰退的可能性很小。他们认为今年美国的经济状况比去年好，基本上已经走出危机。</w:t>
      </w:r>
    </w:p>
    <w:p>
      <w:r>
        <w:t xml:space="preserve">不过，世界银行近期发表声明：虽然没有迹象表明欧洲的债务危机已到达发展中国家程度，但援助贫困地区的资金可能下降20%到25%，这就增加了所谓“Double dip recESsion”（双底衰退）的风险，因此不能排除双底衰退的可能性。</w:t>
      </w:r>
    </w:p>
    <w:p>
      <w:r>
        <w:t xml:space="preserve">目前，全球乐观的经济学家和悲观的经济学家们，包括世界银行等，都在就美国经济是否出现双底衰退争论不休，他们各自摆出有力的数据，证明自己的预测是对的。</w:t>
      </w:r>
    </w:p>
    <w:p>
      <w:r>
        <w:t xml:space="preserve">依我看来，所谓的“双底衰退”是以股市图形为依据的，而现在的股市已经不反映经济的基本面，并没有起到晴雨表的作用。其实，美国目前的经济问题，是以房市为中心，以高负债和失业率为基本点。只要这三个问题不解决，金融危机就远未过去。而这三个问题，就像我们小时候玩过的跷跷板，压下这头儿，那头儿便跷起来了。</w:t>
      </w:r>
    </w:p>
    <w:p>
      <w:r>
        <w:t xml:space="preserve">美国的财政赤字、欠债金额早已达到天文数字，单联邦的国债就已突破13万亿美元！绝不比欧洲债务逊色，眼看着无以为继，都快玩儿不下去了。但是如果减少财赤，即意味着政府减少开支、减少大型基础项目及减少个人消费。这样一来，失业率就将进一步上升。前面提及失业率的“轻微下跌”，仔细一查，是因为最近政府为了人口普查，一次性雇佣了40多万临时工，而人口普查工作今年下半年就将陆续结束，显然就业状况并无好转。</w:t>
      </w:r>
    </w:p>
    <w:p>
      <w:r>
        <w:t xml:space="preserve">而失业率又是房市的最大杀手。如果房市进一步下跌的话，负资产家庭会越来越多，那么法拍屋的数量就将跟着上升，金融机构就将继续沦陷（美国迄今已有500家银行濒临破产或倒闭），各行各业便会连带着进一步受损，金融危机就将向纵深发展。</w:t>
      </w:r>
    </w:p>
    <w:p>
      <w:r>
        <w:t xml:space="preserve">假如设法减低失业率呢？现在私人企业举步维艰，就业市场依然冻结，就算一部分企业开始雇用员工，也都是不带有福利的签约职位，大家的眼睛就只能盯住政府了。这些日子政府开支增加、投入了大量的基础项目，成为最大的雇主。而根据权威的Trim实验室最新预测，6月美国将进一步失去20万就业机会，“可我们没有做好准备”。同时，大量增加的都是临时的低薪工作，使得平均时薪降低了1%。但政府又没有钱，就只能提高税收和继续借债，财赤肯定只会继续上升，可以说是“债多不愁”。在此情况下金融危机能过去吗？</w:t>
      </w:r>
    </w:p>
    <w:p>
      <w:r>
        <w:t xml:space="preserve">前一阶段所谓的“经济复苏”，事实上是美国政府的大手笔救市，打强心针的结果。政府认为金融危机的症结就在于流动性短缺和信心丧失，只要注入资金就会止住经济的恶性循环，就会将人们拉回股市房市，经济就能重回良性循环中。这在短期内的确见效了，但随着救市接近尾声，这短期的曙光也就到头了。而且美国过去那些年的增长，就是靠放松信贷、刺激消费，靠多少万亿的负债得来的。</w:t>
      </w:r>
    </w:p>
    <w:p>
      <w:r>
        <w:t xml:space="preserve">由于近三十多年来，美国不断地鼓励借钱消费及投资所形成的巨大泡沫的恶果，是这次金融危机的根源，当前人们正处于这个巨大泡沫的破灭之中。</w:t>
      </w:r>
    </w:p>
    <w:p>
      <w:r>
        <w:t xml:space="preserve">现在的经济已经全球化，但全球的就业、企业家和消费者的信心都没有真正恢复。这种全球性经济衰退是前所未有的，连制造这个泡沫的始作俑者之一格林斯潘，都称之为百年不遇。更为艰难的是在衰退结束之后，还没有一个全新的、能取代前三十年不断造成泡沫、提前借贷消费的经济模式。近一、二年来政府使出浑身解数的救市策略——进一步放松信贷，其实是把泡沫越吹越大。事实证明这个旧模式再也行不通了。以美国目前的经济状况，显然是持续衰退的征兆，根本无所谓双底衰退。</w:t>
      </w:r>
    </w:p>
    <w:p>
      <w:r>
        <w:t xml:space="preserve">很多投资者还没有真正看清这次金融危机的严重程度，认为经济正在趋稳见底。存有这种想法的人通常会追涨杀跌。而没有经济增长的反弹是零和游戏，甚至还是负和游戏。在每一次反弹后，市场可能会跌得更狠，它将吞没绝大多数“精明”的投资者。</w:t>
      </w:r>
    </w:p>
    <w:p>
      <w:hyperlink r:id="rId39">
        <w:r>
          <w:rPr>
            <w:rStyle w:val="Link"/>
          </w:rPr>
          <w:t xml:space="preserve">来源：凤凰财经</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0">
        <w:r>
          <w:rPr>
            <w:rStyle w:val="Link"/>
          </w:rPr>
          <w:t xml:space="preserve">unsubscribe@charltonslaw.com</w:t>
        </w:r>
      </w:hyperlink>
    </w:p>
    <w:p>
      <w:r>
        <w:rPr>
          <w:b/>
        </w:rPr>
        <w:t xml:space="preserve">易周律师行 - 法讯 - 中国 - 第343期 - 2010年06月21日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06d23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business.sohu.com/20100616/n272835175.shtml" TargetMode="External" /><Relationship Type="http://schemas.openxmlformats.org/officeDocument/2006/relationships/hyperlink" Id="rId35" Target="http://chinese.wsj.com/gb/20100617/bch112313.asp?source=whatnews3" TargetMode="External" /><Relationship Type="http://schemas.openxmlformats.org/officeDocument/2006/relationships/hyperlink" Id="rId27" Target="http://cnstock.xinhuanet.com/index/gdxw/201006/604047.htm" TargetMode="External" /><Relationship Type="http://schemas.openxmlformats.org/officeDocument/2006/relationships/hyperlink" Id="rId39" Target="http://finance.ifeng.com/roll/20100618/2320907.shtml" TargetMode="External" /><Relationship Type="http://schemas.openxmlformats.org/officeDocument/2006/relationships/hyperlink" Id="rId21" Target="http://www.charltonslaw.com.cn/china-news-alerts-cn-issue-343/" TargetMode="External" /><Relationship Type="http://schemas.openxmlformats.org/officeDocument/2006/relationships/hyperlink" Id="rId32" Target="http://www.chinanews.com.cn/fortune/news/2010/06-18/2349958.shtml" TargetMode="External" /><Relationship Type="http://schemas.openxmlformats.org/officeDocument/2006/relationships/hyperlink" Id="rId37" Target="http://www.techweb.com.cn/news/2010-06-17/623784.shtml" TargetMode="External" /><Relationship Type="http://schemas.openxmlformats.org/officeDocument/2006/relationships/hyperlink" Id="rId4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5" Target="http://business.sohu.com/20100616/n272835175.shtml" TargetMode="External" /><Relationship Type="http://schemas.openxmlformats.org/officeDocument/2006/relationships/hyperlink" Id="rId35" Target="http://chinese.wsj.com/gb/20100617/bch112313.asp?source=whatnews3" TargetMode="External" /><Relationship Type="http://schemas.openxmlformats.org/officeDocument/2006/relationships/hyperlink" Id="rId27" Target="http://cnstock.xinhuanet.com/index/gdxw/201006/604047.htm" TargetMode="External" /><Relationship Type="http://schemas.openxmlformats.org/officeDocument/2006/relationships/hyperlink" Id="rId39" Target="http://finance.ifeng.com/roll/20100618/2320907.shtml" TargetMode="External" /><Relationship Type="http://schemas.openxmlformats.org/officeDocument/2006/relationships/hyperlink" Id="rId21" Target="http://www.charltonslaw.com.cn/china-news-alerts-cn-issue-343/" TargetMode="External" /><Relationship Type="http://schemas.openxmlformats.org/officeDocument/2006/relationships/hyperlink" Id="rId32" Target="http://www.chinanews.com.cn/fortune/news/2010/06-18/2349958.shtml" TargetMode="External" /><Relationship Type="http://schemas.openxmlformats.org/officeDocument/2006/relationships/hyperlink" Id="rId37" Target="http://www.techweb.com.cn/news/2010-06-17/623784.shtml" TargetMode="External" /><Relationship Type="http://schemas.openxmlformats.org/officeDocument/2006/relationships/hyperlink" Id="rId4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第343期 - 2010年06月21日</dc:title>
  <dc:creator/>
</cp:coreProperties>
</file>