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第344期</w:t>
      </w:r>
      <w:r>
        <w:t xml:space="preserve"> </w:t>
      </w:r>
      <w:r>
        <w:t xml:space="preserve">-</w:t>
      </w:r>
      <w:r>
        <w:t xml:space="preserve"> </w:t>
      </w:r>
      <w:r>
        <w:t xml:space="preserve">2010年06月28日</w:t>
      </w:r>
    </w:p>
    <w:p>
      <w:hyperlink r:id="rId21">
        <w:r>
          <w:rPr>
            <w:rStyle w:val="Link"/>
          </w:rPr>
          <w:t xml:space="preserve">网络版</w:t>
        </w:r>
      </w:hyperlink>
    </w:p>
    <w:p>
      <w:pPr>
        <w:pStyle w:val="Heading1"/>
      </w:pPr>
      <w:bookmarkStart w:id="22" w:name="法讯中国第344期"/>
      <w:bookmarkEnd w:id="22"/>
      <w:r>
        <w:t xml:space="preserve">法讯中国第344期</w:t>
      </w:r>
    </w:p>
    <w:p>
      <w:pPr>
        <w:pStyle w:val="Heading2"/>
      </w:pPr>
      <w:bookmarkStart w:id="23" w:name="资本市场-capital-markets"/>
      <w:bookmarkEnd w:id="23"/>
      <w:r>
        <w:t xml:space="preserve">资本市场 Capital Markets</w:t>
      </w:r>
    </w:p>
    <w:p>
      <w:pPr>
        <w:pStyle w:val="Heading3"/>
      </w:pPr>
      <w:bookmarkStart w:id="24" w:name="专家料人民币缓升至少3"/>
      <w:bookmarkEnd w:id="24"/>
      <w:r>
        <w:t xml:space="preserve">专家:料人民币缓升至少3%</w:t>
      </w:r>
    </w:p>
    <w:p>
      <w:r>
        <w:t xml:space="preserve">中国人民银行于上周末重启人民币汇率改革以增强人民币汇率弹性。就此,内地经济学家预计,到今年年底,人民币对美元名义汇率升值3%至5%。</w:t>
      </w:r>
    </w:p>
    <w:p>
      <w:r>
        <w:t xml:space="preserve">中国社科院世界经济与政治研究所研究员张明向本报指出,这次汇率改革和2005年7月汇率改革采取的策略一致,都强调渐进、可控、自主形成汇率浮动机制,唯一的区别是2005年中国经济过热并伴随巨额贸易顺差,而当下面临需求减少,经济增幅减缓的情况。</w:t>
      </w:r>
    </w:p>
    <w:p>
      <w:r>
        <w:t xml:space="preserve">具体到行业而言,中金公司首席经济学家哈继铭认为,人民币升值的赢家将是依赖大宗商品进口的重工业。据测算,人民币如升值5%将分别降低石油加工和天然气生产行业、金属加工行业、交通运输设备和金属采矿行业的成本2%、1.3%和1%。同时电子产品制造商、电气设备行业和通用、特种设备行业也将小幅受益于人民币升值。只有办公设备行业和纺织服装行业将受损,主要由于这些行业更依赖于出口或其供应链主要在国内。</w:t>
      </w:r>
    </w:p>
    <w:p>
      <w:pPr>
        <w:pStyle w:val="Heading4"/>
      </w:pPr>
      <w:bookmarkStart w:id="25" w:name="官媒称推进汇改不等于升值"/>
      <w:bookmarkEnd w:id="25"/>
      <w:r>
        <w:t xml:space="preserve">官媒称推进汇改不等于升值</w:t>
      </w:r>
    </w:p>
    <w:p>
      <w:r>
        <w:t xml:space="preserve">另据路透社报道,《人民日报》周一报道称,中国人民银行决定进一步推进汇改并不等于人民币升值,汇改对出口和就业可能有一些影响,但利大于弊。</w:t>
      </w:r>
    </w:p>
    <w:p>
      <w:pPr>
        <w:pStyle w:val="Heading4"/>
      </w:pPr>
      <w:bookmarkStart w:id="26" w:name="中国美国商会欢迎汇改决定"/>
      <w:bookmarkEnd w:id="26"/>
      <w:r>
        <w:t xml:space="preserve">中国美国商会:欢迎汇改决定</w:t>
      </w:r>
    </w:p>
    <w:p>
      <w:r>
        <w:t xml:space="preserve">中国美国商会21日发表声明,对中国宣布将增加人民币汇率的弹性表示欢迎。声明称,人民币升值和以市场为导向不仅有利于中国消费者,而且有助于降低全球贸易失衡。中国美国商会继续支持汇率制度的逐步自由化、资本管制、利率和金融服务对外资企业的进一步开放。</w:t>
      </w:r>
    </w:p>
    <w:p>
      <w:hyperlink r:id="rId27">
        <w:r>
          <w:rPr>
            <w:rStyle w:val="Link"/>
          </w:rPr>
          <w:t xml:space="preserve">来源：中国经济网</w:t>
        </w:r>
      </w:hyperlink>
    </w:p>
    <w:p>
      <w:pPr>
        <w:pStyle w:val="Heading3"/>
      </w:pPr>
      <w:bookmarkStart w:id="28" w:name="农业银行ipo点燃港股激情"/>
      <w:bookmarkEnd w:id="28"/>
      <w:r>
        <w:t xml:space="preserve">农业银行IPO点燃港股激情</w:t>
      </w:r>
    </w:p>
    <w:p>
      <w:r>
        <w:t xml:space="preserve">农业银行IPO吸引大量资金涌入香港，点燃了港股的激情，推动恒指连续上涨并重上20000点。另一方面，紧接着近日挂牌的海东青和中国联塑，国泰君安（香港）等8只新股自本周起相继启动在港上市程序，计划筹集资金约1200亿港元。</w:t>
      </w:r>
    </w:p>
    <w:p>
      <w:r>
        <w:t xml:space="preserve">经过北京、上海、深圳3地马不停蹄的路演后，农行A股机构询价6月23日中午结束，昨日中午农行高层移师香港，举行农行H股投资者推介会，农行将于本月30日起公开招股。</w:t>
      </w:r>
    </w:p>
    <w:p>
      <w:r>
        <w:t xml:space="preserve">农行IPO吸引了大量资金涌入香港，不仅推动港股重拾升势，促使恒指近期连续上涨并重上20000点，前期萎靡的香港IPO市场也被激活。香港近期新股发售大多获得足额认购。已于本周一上市的海东青新材料，公开发售获4.78倍认购；截至6月21日，公开认购的新股创生控股更是获得149倍的超额认购，冻结资金110亿港元，成为5月份以来香港市场认购最为热烈的新股。</w:t>
      </w:r>
    </w:p>
    <w:p>
      <w:r>
        <w:t xml:space="preserve">昨日登场的齐合天地计划集资7.8亿港元；国泰君安（香港）今起招股，公司拟发行4.1亿股新股，集资15.9-23.1亿港元；同时启动招股的还有深圳岁宝百货和华耐控股，拟分别筹资7.9-10.5亿港元及2.77-3.24亿港元。下周，香港IPO集资将达到高潮，康宏理财、博耳、中国智能交通将与农行并行招股。(成都晚报)</w:t>
      </w:r>
    </w:p>
    <w:p>
      <w:pPr>
        <w:pStyle w:val="Heading4"/>
      </w:pPr>
      <w:bookmarkStart w:id="29" w:name="港股是牛市熊市"/>
      <w:bookmarkEnd w:id="29"/>
      <w:r>
        <w:t xml:space="preserve">港股是牛市？熊市？</w:t>
      </w:r>
    </w:p>
    <w:p>
      <w:r>
        <w:t xml:space="preserve">港股在6月7日出现"死亡交叉"由牛转熊讯号，市场随即引发牛熊之争，但是，本周一港股因中国人民银行宣布进一步推进人民币汇率形成机制改革，增强人民币汇率弹性，令市场憧憬人民币升值，刺激股市大升，恒生指数随即升破50天、100天，以及250天的牛熊分界线，重上20,938点，市场又有声音认为，这意味牛市未死，目前港股是牛市？熊市？市场意见莫衷一是。</w:t>
      </w:r>
    </w:p>
    <w:p>
      <w:r>
        <w:t xml:space="preserve">虽然恒指约於3个星期前出现50天线跌穿250天线的死亡交叉讯号，但部分证券界人士认为港股估值合理，外围不利因素己基本解决，金融海啸後，最艰难时期已过，且环球资金仍然充裕及利率低企下，企业盈利仍有增长，牛市势态仍未改变，步入熊市的机会甚彻，目前大市应己完成牛市二期的中期调整，将出现中期升浪，甚至有意见认为港股快将进入牛市三期升浪。</w:t>
      </w:r>
    </w:p>
    <w:p>
      <w:r>
        <w:t xml:space="preserve">但亦有部分证券界人士认为，自2007年10月由历史高峰31,958点，恒指一直下跌至10,676点的大跌市之後，已肯定是熊市一期，然後由10,676点升至23,099点则是熊市二期，过去的升幅一直是熊市反弹，只是升幅达到一倍之多而已，目前仍然是熊市二期的寻底阶段，亦有意见认为已步入熊市三期，港股有机会下试17,000点。</w:t>
      </w:r>
    </w:p>
    <w:p>
      <w:r>
        <w:t xml:space="preserve">其实，死亡交叉并非单在香港出现，内地的上证指数早於5月已经现身，而日本的日经平均指数则在本月9日出现，英皇证券研究部副总裁林建华认为，看股市是否牛市或是熊市并非单看死亡交叉或是牛熊分界线，反而虽要看港股估值及经济数据，目前港股市盈率只有14倍，属合理水平，未出现爆煲现象，主要由於股价成交量偏低有关。</w:t>
      </w:r>
    </w:p>
    <w:p>
      <w:r>
        <w:t xml:space="preserve">他说，过去多天，港股成交额偏低，直到本周一才因应人民币汇改消息才大幅上升至900亿元，但周二则无以为继，成交金额回落至不足610亿元，昨天成交额进一步跌至565亿元，即使大市重上250天线，亦不等如大市因此转为上升，由於升幅不足，大户无亦法派货，估计大市要升至21,500点，以及成交回升，大户才能派货，暂时港股不会出现大跌，短期表现会较为牛皮。</w:t>
      </w:r>
    </w:p>
    <w:p>
      <w:r>
        <w:t xml:space="preserve">他指出，本月为基金半年结，月初已见到基金进行换马，目前亦见到有基金在做粉饰橱窗工作，7月又有农业银行上市，将会有不少护盘，估计大市有机会在农行上市前抽升，届时大户便有机会派货，投资者要留意。</w:t>
      </w:r>
    </w:p>
    <w:p>
      <w:r>
        <w:t xml:space="preserve">时富证券联席董事邓建初则认为，目前大市"似牛非牛、似熊非熊"，但个人感觉目前港股并不似牛市，至於是否熊市则要时间印证，目前港股市只可以说是大型上落市的格局来形容。</w:t>
      </w:r>
    </w:p>
    <w:p>
      <w:r>
        <w:t xml:space="preserve">他说，形成港股出现大型上落市的主要原因是受欧美国家市场影响，由於美国发生金融海啸，虽采用量化宽松政策，在印银纸以及大量发行债券下，产生很坏的後遗症，欧洲出现债务危机，被迫实施紧缩政策，因而欧美股市亦出现上落市，即使亚洲股市在今年，有不少国家股市仍有单位数至双位数增长，如泰国、菲律宾、印度等，表现算是不俗，反而是成熟国家无论股市或经济表现并不理想，出口亦未必大幅上升，政府要退市亦不可能。</w:t>
      </w:r>
    </w:p>
    <w:p>
      <w:r>
        <w:t xml:space="preserve">他补充说，目前港股要面对欧美市场的变化外，港股亦要面对大户的短线炒作，以及利用衍生工具件与期指等舞弄股市，令股市更为波动，难以捉摸，投资者要捉摸大户心理，才能稳操胜劵。</w:t>
      </w:r>
    </w:p>
    <w:p>
      <w:r>
        <w:t xml:space="preserve">他认为，欧洲情况看似稳定下来，但东欧金融问题亦将揭发，香港的熊市正待欧美问题深化下出现，事实上，香港的股市以及环球股市，均是受环球热钱而带动上升，可能制造了一个假牛市，这都是被人为地扭曲，由於并非由实体经济支持，只是在印银纸政策下，令市场资金太多，於是在实物有限的情况中，价格不合理地上升，一旦欧洲出现问题，港股便会见到熊踪。</w:t>
      </w:r>
    </w:p>
    <w:p>
      <w:r>
        <w:t xml:space="preserve">的确，最近数月，无论是股市、外〖吧唐期货市场，均曾出现急升及暴跌的情况，欧洲债务危机蔓延，加促欧洲各国紧缩开支，变相启动退市机制，美国对此认为势必打击经济，影响全球复苏，同时，美国近日发布的经济数据亦未如理想，自身更难以退市，如此更凸显欧美在退市上出现严重分歧，退市与否，亦直接影响资金流动及股市表现。</w:t>
      </w:r>
    </w:p>
    <w:p>
      <w:r>
        <w:t xml:space="preserve">至於中国，因欧洲债务危机打击中国的出口业，人行即在上周末宣布汇率改革，市场一般预计内地会继续以内需平衡其出口为主导向的经济政策，20国集团峰会(G20)明天在多伦多揭幕，预期各国对财经政策、环球贸易，以及开徵全球银行税等问题，将成讨论焦点，大户在此刻亦不敢太过进龋</w:t>
      </w:r>
    </w:p>
    <w:p>
      <w:r>
        <w:t xml:space="preserve">港股是牛市或是熊市，要待时间作判断，由於港股不止受外围因素影响，亦同时受内地政策左右，除此之外，投资者亦宜看6月的季结情况，是否连续第2季下跌，即使目前是牛市二期，其特徵亦是有波幅没升幅，大部份时间牛皮，在目前市况向下的时候，投资者手持现金，大可静候入市机会。</w:t>
      </w:r>
    </w:p>
    <w:p>
      <w:pPr>
        <w:pStyle w:val="Heading4"/>
      </w:pPr>
      <w:bookmarkStart w:id="30" w:name="农行h股推介盛况空前-国际配售已获超额认购"/>
      <w:bookmarkEnd w:id="30"/>
      <w:r>
        <w:t xml:space="preserve">农行H股推介盛况空前 国际配售已获超额认购</w:t>
      </w:r>
    </w:p>
    <w:p>
      <w:r>
        <w:t xml:space="preserve">金融界港股6月25日讯 据港媒报道，随着农业银行(1288-HK)H股日内正式招股，本港再掀新股热，近期正在或即将招股的新股近12只，焦点当然落在农行身上。农行昨在港举行投资者推介会，吸引近600个投资者参与，农行董事长项俊波指对招股很有信心，有关方面也严阵以待，准备80万份认购表及7家银行共40间收票行。市场消息透露，截至昨日中午，农行H股国际配售部分，已录得数倍超额认购。</w:t>
      </w:r>
    </w:p>
    <w:p>
      <w:r>
        <w:t xml:space="preserve">农行昨日的推介会盛况空前，大会原估计约500名投资者出席，但实际出席者却达600人。前来捧场的本地知名大捎沙和名人包括中金董事长朱云来等数人。农行董事长项俊波、副董事长张云等管理层一出现即被众多传媒包围，在被问及对本次招股的看法时，项俊波表示“很有信心”。</w:t>
      </w:r>
    </w:p>
    <w:p>
      <w:pPr>
        <w:pStyle w:val="Heading4"/>
      </w:pPr>
      <w:bookmarkStart w:id="31" w:name="ah筹逾1500亿可超工行"/>
      <w:bookmarkEnd w:id="31"/>
      <w:r>
        <w:t xml:space="preserve">A+H筹逾1500亿可超工行</w:t>
      </w:r>
    </w:p>
    <w:p>
      <w:r>
        <w:t xml:space="preserve">农行曾被热炒为"史上最大规模IPO"。据招股文件披露，H股发行254.12亿股，招股价介乎2.88-3.48元，集资732-884亿元，未能超过工行(1398-HK)的1,086亿元。但加上A股方面拟发行最多222.35亿股，按市场消息指中间价2.7元人民币此计算，A+H股总共集资最多逾1,500亿元，可超工行1,485亿元的纪录。此外，农行是次招股安排了7家银行40间收票行，少于工行招股时的88间，也不及中行的70间、建行的60间。</w:t>
      </w:r>
    </w:p>
    <w:p>
      <w:r>
        <w:t xml:space="preserve">虽然推介会现场气氛热爆，但券商对农行却非一致看好。侨丰证券业务发展董事连敬涵预计，市场对农行新股的需求不会很热烈，直言"不值得申请捎展"，即便以现金抽新股亦应考虑清楚。他称，此前多间中资银行上市后的表现都差强人意，对投资者的吸引力“普普通通”，农行恐亦难例外，料上市首日最多升5-10%，最差有可能跌穿招股价。他建议散户的最佳策略是等农行上市一段时间后，观察其表现再决定是否买入。</w:t>
      </w:r>
    </w:p>
    <w:p>
      <w:pPr>
        <w:pStyle w:val="Heading4"/>
      </w:pPr>
      <w:bookmarkStart w:id="32" w:name="券商料首日股价可升10"/>
      <w:bookmarkEnd w:id="32"/>
      <w:r>
        <w:t xml:space="preserve">券商料首日股价可升10%</w:t>
      </w:r>
    </w:p>
    <w:p>
      <w:r>
        <w:t xml:space="preserve">信达国际研究部董事彭伟新亦表示，农行当前的坏账率仍偏高，盈利状况亦不如工行和建行(0939-HK)，因此市账率"估值好难达到2"，在1.7倍左右算是比较合理。他认为，近期大量新股上市对农行影响有限，但以农行本身的质素和吸引力来看，预料不会出现火爆盛况。他对上市首日的表现亦不甚乐观，指若以最低价上市，首日股价可能有望升10%。</w:t>
      </w:r>
    </w:p>
    <w:p>
      <w:r>
        <w:t xml:space="preserve">大福证券中国业务部副总裁郭家耀也关注农行的坏账情况，因此市账率估值应有一定折让，他认为农行以下限定价才有较大吸引力。近期新股吹淡风，他预期农行H股首日挂牌股价表现升幅不会太多，超购倍数亦未必会太多，他建议投资者以现金认购农行，他又提醒市场上其他中资行的估值可能更为吸引。</w:t>
      </w:r>
    </w:p>
    <w:p>
      <w:pPr>
        <w:pStyle w:val="Heading4"/>
      </w:pPr>
      <w:bookmarkStart w:id="33" w:name="市账率吸引基金指抵买"/>
      <w:bookmarkEnd w:id="33"/>
      <w:r>
        <w:t xml:space="preserve">市账率吸引基金指"抵买"</w:t>
      </w:r>
    </w:p>
    <w:p>
      <w:r>
        <w:t xml:space="preserve">市场消息指，农行H股今年预测市账率介乎1.55至1.79倍，昨日有份出席推介的一位基金经理表示，按此估值计，他认为农行"抵买"。根据交银国际本月中的报告指，预测今年中资行的平均市账率1.89倍，其中三大国有商银，建行(0939-HK)、中行(3988-HK)、工行(1398-HK)预测今年的市账率分别为2.29倍、1.69倍、2.49倍。</w:t>
      </w:r>
    </w:p>
    <w:p>
      <w:r>
        <w:t xml:space="preserve">不过，不少券商已提前为农行提供捎展预留服务，初步涉及逾600亿元.</w:t>
      </w:r>
    </w:p>
    <w:p>
      <w:hyperlink r:id="rId34">
        <w:r>
          <w:rPr>
            <w:rStyle w:val="Link"/>
          </w:rPr>
          <w:t xml:space="preserve">来源：易阔</w:t>
        </w:r>
      </w:hyperlink>
    </w:p>
    <w:p>
      <w:pPr>
        <w:pStyle w:val="Heading2"/>
      </w:pPr>
      <w:bookmarkStart w:id="35" w:name="公司与商业-corporate-commercial"/>
      <w:bookmarkEnd w:id="35"/>
      <w:r>
        <w:t xml:space="preserve">公司与商业 Corporate &amp; Commercial</w:t>
      </w:r>
    </w:p>
    <w:p>
      <w:pPr>
        <w:pStyle w:val="Heading3"/>
      </w:pPr>
      <w:bookmarkStart w:id="36" w:name="中国国家主席胡锦涛希望中加贸易额至2015年可翻倍"/>
      <w:bookmarkEnd w:id="36"/>
      <w:r>
        <w:t xml:space="preserve">中国国家主席胡锦涛希望中加贸易额至2015年可翻倍</w:t>
      </w:r>
    </w:p>
    <w:p>
      <w:r>
        <w:t xml:space="preserve">中国国家主席胡锦涛周四表示,希望到2015年中加双边贸易额能够翻倍,提高到600亿美元。</w:t>
      </w:r>
    </w:p>
    <w:p>
      <w:r>
        <w:t xml:space="preserve">胡锦涛与加拿大总理哈珀会晤时发表上述言论,加拿大执政的保守派政府希望进一步巩固加中关系。</w:t>
      </w:r>
    </w:p>
    <w:p>
      <w:r>
        <w:t xml:space="preserve">胡锦涛表示,他与哈珀一致认为两国应采取积极行动,争取2015年实现双边贸易额600亿美元的目标。去年两国双边贸易额为290亿美元。</w:t>
      </w:r>
    </w:p>
    <w:p>
      <w:r>
        <w:t xml:space="preserve">加拿大75%的出口输往美国,而美国目前需求疲弱,因此加拿大希望能让自身出口市场更加多元化。</w:t>
      </w:r>
    </w:p>
    <w:p>
      <w:r>
        <w:t xml:space="preserve">中国能源消费不断增长,因而希望加拿大成为稳定的资源供应方,中国企业去年开始已增加对加拿大油砂的投资。</w:t>
      </w:r>
    </w:p>
    <w:p>
      <w:r>
        <w:t xml:space="preserve">在华业务规模较大的加拿大企业包括:加拿大交通运输设备制造商庞巴迪(Bombardier) BBDb.TO 及工程公司SNC-Lavalin集团 SNC.TO 等。</w:t>
      </w:r>
    </w:p>
    <w:p>
      <w:r>
        <w:t xml:space="preserve">胡锦涛和哈珀均未公开谈及中加贸易摩擦。中国继续限制仅从加拿大少数几个油菜种植区的港口,进口该国受黑脚病影响的油菜籽。</w:t>
      </w:r>
    </w:p>
    <w:p>
      <w:r>
        <w:t xml:space="preserve">加拿大政府近期说服中国扩大有限的进口,但更希望中国能解除对该国的全面进口禁令。哈珀在2009年底访华时曾提及该项议题。</w:t>
      </w:r>
    </w:p>
    <w:p>
      <w:r>
        <w:t xml:space="preserve">而自2003年发现疯牛病后,中国是目前少数全面禁止进口加拿大牛肉的国家之一。</w:t>
      </w:r>
    </w:p>
    <w:p>
      <w:hyperlink r:id="rId37">
        <w:r>
          <w:rPr>
            <w:rStyle w:val="Link"/>
          </w:rPr>
          <w:t xml:space="preserve">来源：理财</w:t>
        </w:r>
      </w:hyperlink>
    </w:p>
    <w:p>
      <w:pPr>
        <w:pStyle w:val="Heading3"/>
      </w:pPr>
      <w:bookmarkStart w:id="38" w:name="商务部取消部分商品出口退税不意味着外贸政策转向"/>
      <w:bookmarkEnd w:id="38"/>
      <w:r>
        <w:t xml:space="preserve">商务部：取消部分商品出口退税不意味着外贸政策转向</w:t>
      </w:r>
    </w:p>
    <w:p>
      <w:r>
        <w:t xml:space="preserve">商务部财务司负责人２４日表示，取消部分商品出口退税是对出口退税率结构微调，主要是为了控制高耗能、高污染产品出口，确保实现"十一五"节能减排目标。</w:t>
      </w:r>
    </w:p>
    <w:p>
      <w:r>
        <w:t xml:space="preserve">财政部、税务总局２２日发出通知，决定从７月１５日起取消部分钢材、有色金属加工材等４０６个税号的出口退税。商务部财务司负责人认为，本次调整应不会对外贸出口产生大的影响，长期来看将有利于促进外贸发展方式转变。</w:t>
      </w:r>
    </w:p>
    <w:p>
      <w:r>
        <w:t xml:space="preserve">"本次调整不意味着国家外贸政策的转向。" 这位负责人指出，今年外贸工作主要着力点是"拓市场、调结构、促平衡"，保持外需政策的连续性和稳定性将是全年的重点。取消４０６个税号产品出口退税，同时控制部分农产品出口过快增长势头、保持国内农产品价格相对稳定，不代表外贸政策的“退出”，相信部分企业会克服暂时困难。</w:t>
      </w:r>
    </w:p>
    <w:p>
      <w:r>
        <w:t xml:space="preserve">这位负责人指出，本次取消退税的４０６个税号，仅占海关税号总数的３％左右；２００９年这些产品实现出口１１０亿美元，仅占当年出口总额的１％左右。取消退税政策，短期内可能会对市场产生影响，但应不会造成出口的大幅下滑，不会改变对外贸易发展的大局。</w:t>
      </w:r>
    </w:p>
    <w:p>
      <w:r>
        <w:t xml:space="preserve">这位负责人解释说，取消部分产品出口退税，体现了国家加快产业结构调整和推进外贸发展方式转变的政策意图，有利于引导企业优化产品结构，提高出口产品质量和档次；有利于引导企业提高精深加工程度，促进低碳排放、节能环保产品出口。</w:t>
      </w:r>
    </w:p>
    <w:p>
      <w:r>
        <w:t xml:space="preserve">下一步，商务部还将根据外贸出口形势，继续推进完善出口退税率结构，努力保持出口退税政策的连续稳定，争取为外贸发展创造相对稳定的政策环境.</w:t>
      </w:r>
    </w:p>
    <w:p>
      <w:hyperlink r:id="rId39">
        <w:r>
          <w:rPr>
            <w:rStyle w:val="Link"/>
          </w:rPr>
          <w:t xml:space="preserve">来源：人民网</w:t>
        </w:r>
      </w:hyperlink>
    </w:p>
    <w:p>
      <w:pPr>
        <w:pStyle w:val="Heading3"/>
      </w:pPr>
      <w:bookmarkStart w:id="40" w:name="我国软件产业整体向好走出去是大势所趋"/>
      <w:bookmarkEnd w:id="40"/>
      <w:r>
        <w:t xml:space="preserve">我国软件产业整体向好"走出去"是大势所趋</w:t>
      </w:r>
    </w:p>
    <w:p>
      <w:r>
        <w:t xml:space="preserve">上国际金融危机给各行业带来严重冲击，中国软件产业却呈现出一枝独秀的局面。2009年，我国软件产业的业务总收入首次突破9500亿，达到9513亿元，同比增长25.6%。22日开幕的第八届中国国际软件和信息服务交易会（简称大连软交会）上，与会专家指出，当前我国软件产业政策环境向好，物联网、3G等成为行业新的增长点，但仍面临国际竞争加剧、人力成本提高等多项挑战，需进一步实施软件产业国际化战略等措施加以解决。</w:t>
      </w:r>
    </w:p>
    <w:p>
      <w:pPr>
        <w:pStyle w:val="Heading4"/>
      </w:pPr>
      <w:bookmarkStart w:id="41" w:name="我国软件产业平稳快速增长政策环境向好"/>
      <w:bookmarkEnd w:id="41"/>
      <w:r>
        <w:t xml:space="preserve">我国软件产业平稳快速增长，政策环境向好</w:t>
      </w:r>
    </w:p>
    <w:p>
      <w:r>
        <w:t xml:space="preserve">大连软交会发布的《2010中国软件创新报告》显示，面对国际金融危机的冲击，我国软件行业大力拓展国内市场，推进产业结构调整，总体保持平稳运行态势，产业规模继续扩大，结构和布局不断调整，行业应用水平和创新能力显著提升，在推动工业发展方式转变和经济结构调整中发挥着积极作用。</w:t>
      </w:r>
    </w:p>
    <w:p>
      <w:r>
        <w:t xml:space="preserve">据统计，受金融危机影响，全球软件产业规模在2009年缩减了2%，而我国软件产业虽然增速略有下降，但依然保持了高速的增长势头，其中外包服务受金融危机的影响较为严重，外包服务年增长率为14%，增速同比下降44.2%。</w:t>
      </w:r>
    </w:p>
    <w:p>
      <w:r>
        <w:t xml:space="preserve">软件产业下一步发展同样面临有利形势：首先是政策环境向好。今年我国经济工作的重点是转变经济发展方式，要通过加快信息咨询、软件和创意产业的发展改变目前经济结构。其中，软件产业的发展仍是重点。国家《电子信息产业调整和振兴规划》明确提出了"软件和信息服务收入在电子信息产业中的比重从12%提高到15%"的发展目标。政府将更注重扶植优秀软件企业和鼓励本土软件企业的自主创新及国际化发展，各种政策利好将保持不变。</w:t>
      </w:r>
    </w:p>
    <w:p>
      <w:r>
        <w:t xml:space="preserve">其次是新增长点助推市场需求走高。未来几年中，信息化在经济中的作用将越来越明显，两化融合、三网融合、物联网、下一代互联网等新信息技术的应用将对软件产业的发展带来巨大影响，软件产业的结构将出现深刻变化。</w:t>
      </w:r>
    </w:p>
    <w:p>
      <w:r>
        <w:t xml:space="preserve">两化融合将带给工业软件和嵌入式软件更多发展机会；新能源、电力、医疗卫生、公安、社保、汽车、银行等行业在提高竞争力和创新能力的内外部压力下，借助外部软件企业的力量来达到目的成为企业的重要选择；而以推动3G、物联网以及三网融合为重要使命的电信行业也将更加依赖软件的力量。</w:t>
      </w:r>
    </w:p>
    <w:p>
      <w:pPr>
        <w:pStyle w:val="Heading4"/>
      </w:pPr>
      <w:bookmarkStart w:id="42" w:name="软件产业发展面临四方面不利因素"/>
      <w:bookmarkEnd w:id="42"/>
      <w:r>
        <w:t xml:space="preserve">――软件产业发展面临四方面不利因素</w:t>
      </w:r>
    </w:p>
    <w:p>
      <w:r>
        <w:t xml:space="preserve">但与此同时，软件产业面临的形势还很严峻，多方面的压力依然存在。</w:t>
      </w:r>
    </w:p>
    <w:p>
      <w:r>
        <w:t xml:space="preserve">一是国际经济环境并未完全好转，一些潜在的金融风险和因素都可能重新带来新的冲击，对软件出口特别是软件外包存在不利影响。</w:t>
      </w:r>
    </w:p>
    <w:p>
      <w:hyperlink r:id="rId43">
        <w:r>
          <w:rPr>
            <w:rStyle w:val="Link"/>
          </w:rPr>
          <w:t xml:space="preserve">来源：新民网</w:t>
        </w:r>
      </w:hyperlink>
    </w:p>
    <w:p>
      <w:pPr>
        <w:pStyle w:val="Heading2"/>
      </w:pPr>
      <w:bookmarkStart w:id="44" w:name="其他-other"/>
      <w:bookmarkEnd w:id="44"/>
      <w:r>
        <w:t xml:space="preserve">其他 Other</w:t>
      </w:r>
    </w:p>
    <w:p>
      <w:pPr>
        <w:pStyle w:val="Heading3"/>
      </w:pPr>
      <w:bookmarkStart w:id="45" w:name="iphone-4今日上市-联通9月开始销售"/>
      <w:bookmarkEnd w:id="45"/>
      <w:r>
        <w:t xml:space="preserve">iPhone 4今日上市 联通9月开始销售</w:t>
      </w:r>
    </w:p>
    <w:p>
      <w:r>
        <w:t xml:space="preserve">苹果iPhone 4今日(6月24日)正式上市，在中国联通(600050.SH/00762.HK)6月23日举行的一次公开活动中，中国联通副总裁李刚称，正在与苹果公司协商引进iPhone 4和iPad事宜，预计将在9月在内地销售。</w:t>
      </w:r>
    </w:p>
    <w:p>
      <w:r>
        <w:t xml:space="preserve">苹果在内地合作伙伴中国联通去年引入苹果iPhone。从今年5月开始，联通对iPhone实行降价促销，目前多处销售点已货源告罄。</w:t>
      </w:r>
    </w:p>
    <w:p>
      <w:r>
        <w:t xml:space="preserve">苹果6月7日正式发布新一代智能手机iPhone 4，15日开始在网上接受预定，24日正式发售。</w:t>
      </w:r>
    </w:p>
    <w:p>
      <w:r>
        <w:t xml:space="preserve">李刚23日对媒体称，联通已经与苹果就iPhone 4以及iPad如何具体实施展开了正式谈判。财新记者昨日在现场得到消息，iPhone 4将在9月份在中国联通代售，且带WiFi功能。</w:t>
      </w:r>
    </w:p>
    <w:p>
      <w:r>
        <w:t xml:space="preserve">5月苹果iPad正式登陆英国、澳大利亚、法国、德国、日本等八个市场，从7月开始，包括香港特区在内的七个市场也将正式销售。iPad平板电脑在美国上市80天内销量达到300万台。</w:t>
      </w:r>
    </w:p>
    <w:p>
      <w:r>
        <w:t xml:space="preserve">除独家代理iPhone的联通，运营商老大中国移动和中国电信对iPhone乃至iPad也是虎视眈眈。</w:t>
      </w:r>
    </w:p>
    <w:p>
      <w:r>
        <w:t xml:space="preserve">中国移动董事长王建宙5月表示，一直与苹果保持很好关系，希望新一代iPhone可以加入TD-SCDMA，此外还对iPad感到兴趣。</w:t>
      </w:r>
    </w:p>
    <w:p>
      <w:r>
        <w:t xml:space="preserve">iPhone 4花落谁手，暂时难定。但中国移动和中国电信已与iPhone竞争对手黑莓手机有合作。联通在引进iPhone 4上已领先机。</w:t>
      </w:r>
    </w:p>
    <w:p>
      <w:r>
        <w:t xml:space="preserve">黑莓手机上周宣布与神州数码合作，进入中国零售渠道。</w:t>
      </w:r>
    </w:p>
    <w:p>
      <w:r>
        <w:t xml:space="preserve">黑莓迎击iPhone，意欲在智能手机市场上夺取最大市场份额。运营商争夺iPhone意在占领3G高端用户市场。</w:t>
      </w:r>
    </w:p>
    <w:p>
      <w:r>
        <w:t xml:space="preserve">中国联通A股今日午盘涨0.04元，收于5.21元。今年以来，联通A股已累计下跌逾28%。</w:t>
      </w:r>
    </w:p>
    <w:p>
      <w:hyperlink r:id="rId46">
        <w:r>
          <w:rPr>
            <w:rStyle w:val="Link"/>
          </w:rPr>
          <w:t xml:space="preserve">来源：IT 168</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7">
        <w:r>
          <w:rPr>
            <w:rStyle w:val="Link"/>
          </w:rPr>
          <w:t xml:space="preserve">unsubscribe@charltonslaw.com</w:t>
        </w:r>
      </w:hyperlink>
    </w:p>
    <w:p>
      <w:r>
        <w:rPr>
          <w:b/>
        </w:rPr>
        <w:t xml:space="preserve">易周律师行 - 法讯 - 中国 - 第344期 - 2010年06月28日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3d95a8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6" Target="http://d1.it168.com/show/53347.html" TargetMode="External" /><Relationship Type="http://schemas.openxmlformats.org/officeDocument/2006/relationships/hyperlink" Id="rId39" Target="http://finance.people.com.cn/GB/11965204.html" TargetMode="External" /><Relationship Type="http://schemas.openxmlformats.org/officeDocument/2006/relationships/hyperlink" Id="rId34" Target="http://goo.yikuo.com/news/2010-06-25/1043_2010625100838104313119317.html" TargetMode="External" /><Relationship Type="http://schemas.openxmlformats.org/officeDocument/2006/relationships/hyperlink" Id="rId43" Target="http://news.xinmin.cn/rollnews/2010/06/25/5420379.html" TargetMode="External" /><Relationship Type="http://schemas.openxmlformats.org/officeDocument/2006/relationships/hyperlink" Id="rId27" Target="http://skill.ce.cn/html/009002/000000000000030gxl.html" TargetMode="External" /><Relationship Type="http://schemas.openxmlformats.org/officeDocument/2006/relationships/hyperlink" Id="rId21" Target="http://www.charltonslaw.com.cn/china-news-alerts-cn-issue-344/" TargetMode="External" /><Relationship Type="http://schemas.openxmlformats.org/officeDocument/2006/relationships/hyperlink" Id="rId37" Target="http://www.licai18.com/article/ArticleDetail.jsp?docId=841755" TargetMode="External" /><Relationship Type="http://schemas.openxmlformats.org/officeDocument/2006/relationships/hyperlink" Id="rId4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46" Target="http://d1.it168.com/show/53347.html" TargetMode="External" /><Relationship Type="http://schemas.openxmlformats.org/officeDocument/2006/relationships/hyperlink" Id="rId39" Target="http://finance.people.com.cn/GB/11965204.html" TargetMode="External" /><Relationship Type="http://schemas.openxmlformats.org/officeDocument/2006/relationships/hyperlink" Id="rId34" Target="http://goo.yikuo.com/news/2010-06-25/1043_2010625100838104313119317.html" TargetMode="External" /><Relationship Type="http://schemas.openxmlformats.org/officeDocument/2006/relationships/hyperlink" Id="rId43" Target="http://news.xinmin.cn/rollnews/2010/06/25/5420379.html" TargetMode="External" /><Relationship Type="http://schemas.openxmlformats.org/officeDocument/2006/relationships/hyperlink" Id="rId27" Target="http://skill.ce.cn/html/009002/000000000000030gxl.html" TargetMode="External" /><Relationship Type="http://schemas.openxmlformats.org/officeDocument/2006/relationships/hyperlink" Id="rId21" Target="http://www.charltonslaw.com.cn/china-news-alerts-cn-issue-344/" TargetMode="External" /><Relationship Type="http://schemas.openxmlformats.org/officeDocument/2006/relationships/hyperlink" Id="rId37" Target="http://www.licai18.com/article/ArticleDetail.jsp?docId=841755" TargetMode="External" /><Relationship Type="http://schemas.openxmlformats.org/officeDocument/2006/relationships/hyperlink" Id="rId4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第344期 - 2010年06月28日</dc:title>
  <dc:creator/>
</cp:coreProperties>
</file>