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第348期</w:t>
      </w:r>
      <w:r>
        <w:t xml:space="preserve"> </w:t>
      </w:r>
      <w:r>
        <w:t xml:space="preserve">-</w:t>
      </w:r>
      <w:r>
        <w:t xml:space="preserve"> </w:t>
      </w:r>
      <w:r>
        <w:t xml:space="preserve">2010年07月23日</w:t>
      </w:r>
    </w:p>
    <w:p>
      <w:hyperlink r:id="rId21">
        <w:r>
          <w:rPr>
            <w:rStyle w:val="Link"/>
          </w:rPr>
          <w:t xml:space="preserve">网络版</w:t>
        </w:r>
      </w:hyperlink>
    </w:p>
    <w:p>
      <w:pPr>
        <w:pStyle w:val="Heading1"/>
      </w:pPr>
      <w:bookmarkStart w:id="22" w:name="法讯中国第348期"/>
      <w:bookmarkEnd w:id="22"/>
      <w:r>
        <w:t xml:space="preserve">法讯中国第348期</w:t>
      </w:r>
    </w:p>
    <w:p>
      <w:pPr>
        <w:pStyle w:val="Heading2"/>
      </w:pPr>
      <w:bookmarkStart w:id="23" w:name="资本市场-capital-markets"/>
      <w:bookmarkEnd w:id="23"/>
      <w:r>
        <w:t xml:space="preserve">资本市场 Capital Markets</w:t>
      </w:r>
    </w:p>
    <w:p>
      <w:pPr>
        <w:pStyle w:val="Heading3"/>
      </w:pPr>
      <w:bookmarkStart w:id="24" w:name="qfii参与期指规模不超过投资额度10"/>
      <w:bookmarkEnd w:id="24"/>
      <w:r>
        <w:t xml:space="preserve">QFII参与期指规模不超过投资额度10%</w:t>
      </w:r>
    </w:p>
    <w:p>
      <w:r>
        <w:t xml:space="preserve">消息人士19日向中国证券报记者透露，QFII参与股指期货将不超过其获批投资额度的10%，且只能参与套期保值交易，每笔交易申请必须与现货市场紧密挂钩，由中金所逐笔严格审批后放行。相关办法有望近期公开征求意见。</w:t>
      </w:r>
    </w:p>
    <w:p>
      <w:r>
        <w:t xml:space="preserve">QFII参与股指期货交易，是今年5月底中美战略与经济对话达成的共识，即中方将在审慎监管的基础上，允许合格境外机构投资者(即QFII)投资股指期货产品。统计显示，截至2009年底，QFII总资产规模达2899亿元人民币，其中证券资产2370亿元人民币。</w:t>
      </w:r>
    </w:p>
    <w:p>
      <w:r>
        <w:t xml:space="preserve">QFII参与股指期货，将依据获批时的投资额度计算。其中，买入或者卖出保值的量，不超过其投资额度的10%。截至今年6月底，共有89家QFII获得累计177.20亿美元投资额度，约合1200亿元人民币。</w:t>
      </w:r>
    </w:p>
    <w:p>
      <w:r>
        <w:t xml:space="preserve">据此测算，如果所有QFII都获得套保额度，最多约有120亿元人民币的QFII资金，可通过买入保值或者卖出保值的方式，逐步参与沪深300股指期货交易；平均每家QFII买入或卖出的资金约为1.3亿元人民币，相当于一家中小型私募机构的规模。</w:t>
      </w:r>
    </w:p>
    <w:p>
      <w:r>
        <w:t xml:space="preserve">当前，国内机构投资者通过股指期货交易，已经取得了良好的套期保值效果。作为一项有效的避险工具，股指期货无疑会受到QFII的青睐。业内人士认为，QFII的介入将使得股指期货交易更加成熟稳健，由于其参与金额远远小于基金、券商等机构的入市规模，因此，QFII的介入不会对A股市场和股指期货市场造成冲击。</w:t>
      </w:r>
    </w:p>
    <w:p>
      <w:hyperlink r:id="rId25">
        <w:r>
          <w:rPr>
            <w:rStyle w:val="Link"/>
          </w:rPr>
          <w:t xml:space="preserve">来源：中证网</w:t>
        </w:r>
      </w:hyperlink>
    </w:p>
    <w:p>
      <w:pPr>
        <w:pStyle w:val="Heading3"/>
      </w:pPr>
      <w:bookmarkStart w:id="26" w:name="证监会尽快推出港股半直通车ete"/>
      <w:bookmarkEnd w:id="26"/>
      <w:r>
        <w:t xml:space="preserve">证监会:尽快推出"港股半直通车"ETE</w:t>
      </w:r>
    </w:p>
    <w:p>
      <w:r>
        <w:t xml:space="preserve">据港媒报道，被视为“港股半直通车”的港股交易所买卖基金（ExchangeTradedFund，简称ETF）于内地挂牌，有望内地监管机构及交易所努力解决技术困难后出台。</w:t>
      </w:r>
    </w:p>
    <w:p>
      <w:r>
        <w:t xml:space="preserve">中证监国际合作部主任童道驰昨透露，期望短期内能将余下技术问题解决，尽快推出港股ETF；上交所副总经理刘啸东更指出，跨境ETF可望今年内推出，作为国际板的前奏。</w:t>
      </w:r>
    </w:p>
    <w:p>
      <w:r>
        <w:t xml:space="preserve">童道驰昨在上海金融论坛上解释，内地要推出港股ETF，先要解决系统差别问题：“比如说证券托管，香港是采取代理人制度，我们是用投资者直接持有制度；还有像指数计算、停牌制度、开市时间等，都要先安排好。但筹备工作已在最后阶段，也希望能尽快走完这最后部分。”</w:t>
      </w:r>
    </w:p>
    <w:p>
      <w:r>
        <w:t xml:space="preserve">涉结算差异研优化申购</w:t>
      </w:r>
    </w:p>
    <w:p>
      <w:r>
        <w:t xml:space="preserve">刘啸东则补充，ETF基本要求是让投资者在申购时，立刻在市场上取得份额，但这“技术上处理却非常复杂”，涉及两地登记结算办法差异，有关方面仍研究如何优化申购流程。</w:t>
      </w:r>
    </w:p>
    <w:p>
      <w:r>
        <w:t xml:space="preserve">拟宽中小国企来港上市</w:t>
      </w:r>
    </w:p>
    <w:p>
      <w:r>
        <w:t xml:space="preserve">虽未肯透露时间表，但刘啸东指，因追踪一揽子股份指数较单一公司投资风险为小，故跨境ETF可作为国际板前奏；而港股ETF成功后，上交所亦可开发追踪其他指数ETF。</w:t>
      </w:r>
    </w:p>
    <w:p>
      <w:r>
        <w:t xml:space="preserve">另外，童道驰亦提出，中证监正考虑修例以放宽内地“中小企”境外上市门槛，以鼓励有融资需求的企业充分利用本港作上市平台。</w:t>
      </w:r>
    </w:p>
    <w:p>
      <w:r>
        <w:t xml:space="preserve">港交所（00388）上市委员会委员彭家乐（RobertBunker）解释，据其了解，中小企是指中小型国企，目前并无清晰上市门槛，而考虑到农行等大型国企已先后来港上市，为进一步促进本港集资平台地位，中央放行规模较小的国企来港亦属正常趋势。</w:t>
      </w:r>
    </w:p>
    <w:p>
      <w:hyperlink r:id="rId27">
        <w:r>
          <w:rPr>
            <w:rStyle w:val="Link"/>
          </w:rPr>
          <w:t xml:space="preserve">来源：证券之星</w:t>
        </w:r>
      </w:hyperlink>
    </w:p>
    <w:p>
      <w:pPr>
        <w:pStyle w:val="Heading2"/>
      </w:pPr>
      <w:bookmarkStart w:id="28" w:name="公司-corporate"/>
      <w:bookmarkEnd w:id="28"/>
      <w:r>
        <w:t xml:space="preserve">公司 Corporate</w:t>
      </w:r>
    </w:p>
    <w:p>
      <w:pPr>
        <w:pStyle w:val="Heading3"/>
      </w:pPr>
      <w:bookmarkStart w:id="29" w:name="中国计划允许保险公司投资房地产市场"/>
      <w:bookmarkEnd w:id="29"/>
      <w:r>
        <w:t xml:space="preserve">中国计划允许保险公司投资房地产市场</w:t>
      </w:r>
    </w:p>
    <w:p>
      <w:r>
        <w:t xml:space="preserve">中国保险业监管部门周一宣布，计划拓宽保险公司的投资范围，允许它们投资房地产等领域。保险行业今年上半年取得小幅资产回报，因为所投资的领域大多风险较低。</w:t>
      </w:r>
    </w:p>
    <w:p>
      <w:r>
        <w:t xml:space="preserve">中国保险监督管理委员会（简称：保监会）主席吴定富在一份声明中表示，保险公司投资范围将在下半年稳步拓展至房地产和未上市公司股权等领域。中国保险行业截至6月30日的6个月总体资产回报率为1.93%，回报总额人民币755亿元。吴定富是在这一背景下发表上述评论的。</w:t>
      </w:r>
    </w:p>
    <w:p>
      <w:r>
        <w:t xml:space="preserve">保监会表示，今年上半年保险公司股票投资回报率高于市场平均水平，同时债券投资回报率高于国债收益率。</w:t>
      </w:r>
    </w:p>
    <w:p>
      <w:r>
        <w:t xml:space="preserve">但有限的投资渠道限制了保险公司提高利润率的能力。</w:t>
      </w:r>
    </w:p>
    <w:p>
      <w:r>
        <w:t xml:space="preserve">保监会新闻宣传处处长张忠宁表示，截至6月底，保险行业在存款、债券、股票和其他资产方面的投资余额为人民币4.17万亿元，存款所占比例约为30.5%，债券为51.8%，股票和其他股权相关资产方面的投资仅为15.1%。</w:t>
      </w:r>
    </w:p>
    <w:p>
      <w:r>
        <w:t xml:space="preserve">张忠宁表示，中国保险业上半年保费收入较上年同期增长33.6%，至人民币7,999亿元。但保监会声明援引吴定富的话称，保险公司在分配回报率较高的资产方面面临挑战。</w:t>
      </w:r>
    </w:p>
    <w:p>
      <w:r>
        <w:t xml:space="preserve">吴定富称，可能打击保险产品需求的因素包括汽车销售增长以及固定资产投资可能出现的放缓，以及出口退税预期中的下调。</w:t>
      </w:r>
    </w:p>
    <w:p>
      <w:r>
        <w:t xml:space="preserve">吴定富还称，人民币汇率灵活性的增加也加大了保险公司外币资产面临的风险。中国上月宣布重新实施有管理的浮动汇率体系，结束全球金融危机期间采取的盯住美元的非常规政策。</w:t>
      </w:r>
    </w:p>
    <w:p>
      <w:r>
        <w:t xml:space="preserve">吴定富表示，西方国家面临的风险也可能通过海外保险公司在华业务传导至中国。他还称，全球经济复苏尚不稳固，同时欧洲主权债务危机仍带来不利影响。</w:t>
      </w:r>
    </w:p>
    <w:p>
      <w:r>
        <w:t xml:space="preserve">张忠宁在一次新闻发布会上表示，保监会下半年将加强对保险公司的监督，并且已经敦促一些保险公司改善偿付能力。他未透露相关保险公司名称。</w:t>
      </w:r>
    </w:p>
    <w:p>
      <w:r>
        <w:t xml:space="preserve">保监会办公厅副主任蔡基谱表示，保监会正研究根据资本以及偿付水平决定是否允许相应保险公司拓展投资范围。</w:t>
      </w:r>
    </w:p>
    <w:p>
      <w:hyperlink r:id="rId30">
        <w:r>
          <w:rPr>
            <w:rStyle w:val="Link"/>
          </w:rPr>
          <w:t xml:space="preserve">来源：华尔街日报</w:t>
        </w:r>
      </w:hyperlink>
    </w:p>
    <w:p>
      <w:pPr>
        <w:pStyle w:val="Heading3"/>
      </w:pPr>
      <w:bookmarkStart w:id="31" w:name="中国大陆首批航运经纪人在上海获执业证书"/>
      <w:bookmarkEnd w:id="31"/>
      <w:r>
        <w:t xml:space="preserve">中国大陆首批航运经纪人在上海获执业证书</w:t>
      </w:r>
    </w:p>
    <w:p>
      <w:r>
        <w:t xml:space="preserve">上海市工商局20日颁发了沪上首批航运经纪人执业证书，这标志着上海乃至整个中国大陆的航运经纪人正式走向市场。　</w:t>
      </w:r>
    </w:p>
    <w:p>
      <w:r>
        <w:t xml:space="preserve">据悉，由于各种原因，中国内地公司注册登记类别中尚未有航运经纪人这个类别，无法进行公司登记注册，航运经纪组织无法在大陆开展此项业务。目前在中国内地市场上从事航运经纪业务大多为国外企业驻沪办事处，在上海谈妥业务后到境外进行交易。</w:t>
      </w:r>
    </w:p>
    <w:p>
      <w:r>
        <w:t xml:space="preserve">为更好地服务上海国际航运中心建设，上海市工商局根据《上海市经纪人条例》的有关规定，于今年6月9日正式启动了申城第一批航运经纪人准入试点。首次航运经纪执业资格考试已于7月10日举行，全市共有195人报名参加考试，135人考试合格，取得了《经纪执业资格(航运)考核合格证明》。20日下午，上海市工商局为9人颁发了首批《上海市航运经纪人执业证书》。</w:t>
      </w:r>
    </w:p>
    <w:p>
      <w:r>
        <w:t xml:space="preserve">据了解，上海首批航运经纪人主要就职于克拉克松航运经纪(上海)有限公司、辛浦森船舶经纪(上海)有限公司、百力马航运经纪(上海)有限公司、百利航运经纪(上海)有限公司、毅联汇业(上海)航运经纪有限公司、祥华航运经纪(上海)有限公司、菁英航运经纪(上海)有限公司、津洋航运经纪(上海)有限公司、海高航运经纪(上海)有限公司等9家国际航运经纪知名企业。其中，克拉克松航运经纪(上海)有限公司是全球最大航运经纪企业Clarkson在中国大陆设立的首家分支机构。</w:t>
      </w:r>
    </w:p>
    <w:p>
      <w:r>
        <w:t xml:space="preserve">上海市工商局官员表示，目前，这9家企业已完成企业名称预先核准程序，近日即可完成企业注册登记程序，取得营业执照。</w:t>
      </w:r>
    </w:p>
    <w:p>
      <w:r>
        <w:t xml:space="preserve">此间人士认为，中国大陆航运经纪人正式走向市场，有助吸引国际知名航运经纪公司落户申城，并将填补中国大陆航运经纪领域的空白，进一步完善上海国际航运中介服务业的产业链，促进船舶流通，繁荣内地市场。</w:t>
      </w:r>
    </w:p>
    <w:p>
      <w:hyperlink r:id="rId32">
        <w:r>
          <w:rPr>
            <w:rStyle w:val="Link"/>
          </w:rPr>
          <w:t xml:space="preserve">来源：凤凰网</w:t>
        </w:r>
      </w:hyperlink>
    </w:p>
    <w:p>
      <w:pPr>
        <w:pStyle w:val="Heading3"/>
      </w:pPr>
      <w:bookmarkStart w:id="33" w:name="保险资金有望近期获准投资股指期货"/>
      <w:bookmarkEnd w:id="33"/>
      <w:r>
        <w:t xml:space="preserve">保险资金有望近期获准投资股指期货</w:t>
      </w:r>
    </w:p>
    <w:p>
      <w:r>
        <w:t xml:space="preserve">继券商、基金之后，保险资金近期也有望获准投资股指期货。证券时报记者从一家大型保险公司获悉，监管部门将于近日出台《保险机构开展衍生品业务管理办法》，这意味着险资即将获得股指期货入市资格。</w:t>
      </w:r>
    </w:p>
    <w:p>
      <w:r>
        <w:t xml:space="preserve">据了解，早在年初，监管部门就已经开始研究保险资金参与股指期货的相关管理办法。据悉，保险资金参与股指期货将主要以套期保值、风险对冲为目的，绝不允许投机。</w:t>
      </w:r>
    </w:p>
    <w:p>
      <w:r>
        <w:t xml:space="preserve">一家保险公司负责人表示，与基金相比，保险资金具有投资期限较长、赎回压力较小的特征，运用好股指期货这一风险管理工具，能帮助保险资金抵御短期市场风险，最终实现长期投资目的。</w:t>
      </w:r>
    </w:p>
    <w:p>
      <w:r>
        <w:t xml:space="preserve">目前，随着保费收入的增多，保险资产规模扩张非常迅速，这使得保险资金面临着较大的资金匹配压力。而如何有效平滑投资收益，也成为保险资金运用迫切需要解决的一个难题。</w:t>
      </w:r>
    </w:p>
    <w:p>
      <w:r>
        <w:t xml:space="preserve">数据显示，今年上半年全国保费收入7998.6亿元，同比增长33.6%，增速较上年同期提高27.1个百分点。保监会主席吴定富在日前举行的上半年保险监管工作会上指出，今年预计将有超过2万亿元的保险资金需要寻找适合的投资渠道，保险资产面临较大配置压力。</w:t>
      </w:r>
    </w:p>
    <w:p>
      <w:r>
        <w:t xml:space="preserve">上述保险公司人士认为，运用好股指期货这一风险管理工具，可为大资金管理风险和锁定收益提供一定的保障，特别是在业务现金流和证券市场走势并不匹配的情况下，利用股指期货市场可以进行较为有效的配置管理。</w:t>
      </w:r>
    </w:p>
    <w:p>
      <w:r>
        <w:t xml:space="preserve">业内人士指出，此前，由于缺乏风险对冲工具，持有大量股票的保险资金在股市下跌的时候常常扮演“空军司令”的角色。如果能利用股指期货实现套期保值和风险对冲，将有利于保险资金入市规模的平稳增长，同时也有利于促进中国证券市场长期稳定健康发展。</w:t>
      </w:r>
    </w:p>
    <w:p>
      <w:hyperlink r:id="rId34">
        <w:r>
          <w:rPr>
            <w:rStyle w:val="Link"/>
          </w:rPr>
          <w:t xml:space="preserve">来源：凤凰网</w:t>
        </w:r>
      </w:hyperlink>
    </w:p>
    <w:p>
      <w:pPr>
        <w:pStyle w:val="Heading3"/>
      </w:pPr>
      <w:bookmarkStart w:id="35" w:name="银监会加大对房贷检查力度"/>
      <w:bookmarkEnd w:id="35"/>
      <w:r>
        <w:t xml:space="preserve">银监会:加大对房贷检查力度</w:t>
      </w:r>
    </w:p>
    <w:p>
      <w:r>
        <w:t xml:space="preserve">楼市新政出台之后，各商业银行均迅速制定房贷新规实施细则，并从严把关，总体执行情况很好。日前，银监会已要求各级监管部门，继续加大对房贷政策执行情况的检查力度，及时严厉查处各类违法违规行为，确保国家宏观调控政策得到严格执行。</w:t>
      </w:r>
    </w:p>
    <w:p>
      <w:r>
        <w:t xml:space="preserve">有媒体援引银监会相关人士的话称，根据部分地区抽样调查，第二套房及以上房屋贷款套数在总套数和整体占比呈现“双降”，投机投资类购房得到遏制。</w:t>
      </w:r>
    </w:p>
    <w:p>
      <w:r>
        <w:t xml:space="preserve">从商业银行了解的情况来看，随着各家银行对房地产相关的三类贷款摸底告一段落，下半年开始，银监会将对房地产贷款组织例行的现场检查。据悉，检查将主要针对流程是否合规、风险管理是否有效，尤其是是否严格执行了上半年出台的相关政策。一名商业信贷部门人士表示，上半年出台的政策目前没有松动，下半年仍然需要继续严格执行。</w:t>
      </w:r>
    </w:p>
    <w:p>
      <w:r>
        <w:t xml:space="preserve">6月4日，三部委联合发文，就商业性个人住房贷款中第二套住房的认定标准进行了明确的规范。</w:t>
      </w:r>
    </w:p>
    <w:p>
      <w:r>
        <w:t xml:space="preserve">7月早些时候，有媒体报道称，在北京、上海等地出现“信贷松绑”的情况。部分银行表示可以受理第三套房贷的申请。7月12日，住建部、银监会、人民银行等分别做出反应，否认楼市调控松动，要求继续严格执行包括二套房贷在内的新国十条及相关配套政策。</w:t>
      </w:r>
    </w:p>
    <w:p>
      <w:r>
        <w:t xml:space="preserve">近日，央行公布的上半年金融统计数据报告显示，今年第二季度住户中长期消费性贷款比第一季度增加4648.43亿元，与一季度的增量6021.5亿元相比明显回落</w:t>
      </w:r>
    </w:p>
    <w:p>
      <w:hyperlink r:id="rId36">
        <w:r>
          <w:rPr>
            <w:rStyle w:val="Link"/>
          </w:rPr>
          <w:t xml:space="preserve">来源：财经网</w:t>
        </w:r>
      </w:hyperlink>
    </w:p>
    <w:p>
      <w:pPr>
        <w:pStyle w:val="Heading2"/>
      </w:pPr>
      <w:bookmarkStart w:id="37" w:name="其他-others"/>
      <w:bookmarkEnd w:id="37"/>
      <w:r>
        <w:t xml:space="preserve">其他 Others</w:t>
      </w:r>
    </w:p>
    <w:p>
      <w:pPr>
        <w:pStyle w:val="Heading3"/>
      </w:pPr>
      <w:bookmarkStart w:id="38" w:name="广东规范工资集体协商15以上工人提要求工会须行动"/>
      <w:bookmarkEnd w:id="38"/>
      <w:r>
        <w:t xml:space="preserve">广东规范工资集体协商：1/5以上工人提要求工会须行动</w:t>
      </w:r>
    </w:p>
    <w:p>
      <w:r>
        <w:t xml:space="preserve">昨日提交广东省十一届人大常委会审议的《广东省企业民主管理条例（草案修改二稿）》（下称《条例》）规定，当企业五分之一以上职工提出工资集体协商要求时，工会就应行动。</w:t>
      </w:r>
    </w:p>
    <w:p>
      <w:r>
        <w:t xml:space="preserve">《条例》包括总则、职工（代表）大会、厂务公开等8章共83条。据悉，该条例从2007年开始起草，2008年进入审议程序，其后因为金融危机，曾暂时终止了对条例的审议。今年以来，随着经济形势的好转，尤其是考虑到当前企业工资调整机制问题是热点、难点问题，相关方面对条例进行了研究修改并重新提交审议。</w:t>
      </w:r>
    </w:p>
    <w:p>
      <w:r>
        <w:t xml:space="preserve">广东省人大常委会主任欧广源表示，根据富士康、南海本田等地出现的问题，相关方面广泛召开了座谈会，听取各方面意见，在条例的几个方面作了重大修改。</w:t>
      </w:r>
    </w:p>
    <w:p>
      <w:r>
        <w:t xml:space="preserve">从1995年起，全国各地就已开始逐步推行工资集体协商制度。《工会法》、《劳动法》以及《劳动合同法》都曾对集体谈判制度作出规定，工资集体协商是集体谈判最核心的内容。</w:t>
      </w:r>
    </w:p>
    <w:p>
      <w:r>
        <w:t xml:space="preserve">一位不愿意透露姓名的工人集体谈判问题专家告诉《第一财经日报》记者，河北省已经制定了专门针对工资集体协商的地方法规。此外，有20多个省市区人大已经制定了“集体合同规定”或“集体合同条例”等地方性法规。</w:t>
      </w:r>
    </w:p>
    <w:p>
      <w:pPr>
        <w:pStyle w:val="Heading4"/>
      </w:pPr>
      <w:bookmarkStart w:id="39" w:name="强制工会响应工人协商要求"/>
      <w:bookmarkEnd w:id="39"/>
      <w:r>
        <w:t xml:space="preserve">强制工会响应工人协商要求</w:t>
      </w:r>
    </w:p>
    <w:p>
      <w:r>
        <w:t xml:space="preserve">现阶段，劳资关系更多的还是体现在工资方面。“有一些企业的工资是根据最低工资标准来制定，但最低工资标准只是一个保障性的标准。企业效益好，为什么不让职工共享成果呢？”广州市总工会副巡视员卫宝铭告诉本报记者，工资集体协商制度，是市场经济下解决劳资双方关系的很好渠道。</w:t>
      </w:r>
    </w:p>
    <w:p>
      <w:r>
        <w:t xml:space="preserve">在目前的新形势下，如何在企业和职工之间建立一个合理的工资调整机制尤为重要。</w:t>
      </w:r>
    </w:p>
    <w:p>
      <w:r>
        <w:t xml:space="preserve">《条例》规定，当企业因生产需要延长劳动时间时，应当依法就加班工资、加班时间与职工一方进行集体协商或者与工会和职工个人进行协商。</w:t>
      </w:r>
    </w:p>
    <w:p>
      <w:r>
        <w:t xml:space="preserve">《条例》明确了职工一方要求调整工资的法定机制。当企业五分之一以上职工向工会提出工资集体协商要求时，工会就应组织全体职工民主推选协商代表，并向企业提出工资集体协商要求；未建立工会的企业有五分之一以上职工提出工资协商代表的，可以要求地方总工会予以指导，民主推选协商代表。</w:t>
      </w:r>
    </w:p>
    <w:p>
      <w:r>
        <w:t xml:space="preserve">不过，上述专家指出，依法向企业发出工资集体协商的要约是工会的权利和义务，五分之一的职工提出要求并不是必要条件。比如前一段时间备受社会关注的沈阳肯德基集体合同，就是由沈阳市总工会主动向企业提出要约的。</w:t>
      </w:r>
    </w:p>
    <w:p>
      <w:r>
        <w:t xml:space="preserve">因此，《条例》的这个规定，是为了预防地方工会不作为，而加入的一个强制性启动协商的机制。</w:t>
      </w:r>
    </w:p>
    <w:p>
      <w:r>
        <w:t xml:space="preserve">此外，《条例》还规定，职工和企业双方均可提出工资集体协商的要求，收到工资集体协商意向书的一方，应当在十五日内予以书面答复，并与提出方在遵守法律法规的前提下展开工资集体协商。</w:t>
      </w:r>
    </w:p>
    <w:p>
      <w:pPr>
        <w:pStyle w:val="Heading4"/>
      </w:pPr>
      <w:bookmarkStart w:id="40" w:name="协商期间不得有过激行为"/>
      <w:bookmarkEnd w:id="40"/>
      <w:r>
        <w:t xml:space="preserve">协商期间不得有过激行为</w:t>
      </w:r>
    </w:p>
    <w:p>
      <w:r>
        <w:t xml:space="preserve">《条例》进一步规范了工资集体协商期间双方应当维持正常秩序，不得采取激化矛盾行为。就职工而言，未依法提出工资集体协商要求或在协商期间，不得采取停工、怠工或者其他过激方式要求企业调整工资。就企业而言，不得采取拒绝职工进入劳动场所、拒绝提供劳动条件等过激行为。</w:t>
      </w:r>
    </w:p>
    <w:p>
      <w:r>
        <w:t xml:space="preserve">而当职工提出协商意向书后，企业未按规定答复或者安排集体协商的，不得因职工停工、怠工而解除劳动合同。</w:t>
      </w:r>
    </w:p>
    <w:p>
      <w:r>
        <w:t xml:space="preserve">“通过法律规定，可以避免双方矛盾激化。如果谈判谈得规范，也不需要用罢工停工这种消极的办法去解决。《条例》出台，就是让工人有一个诉求的表达场地、平台。”广州市总工会常务副主席刘小钢说。</w:t>
      </w:r>
    </w:p>
    <w:p>
      <w:r>
        <w:t xml:space="preserve">《条例》还明确了争议的协调与处理机制，明确各级政府应当建立预警机制，发挥人力社保主管部门、同级总工会、企业方面代表建立的盗洞关系三方协调机制的作用。企业和职工双方无法进行协商或者协商不能达成一致意见的，或者不履行意见的，地方总工会应及时进入协调指导。</w:t>
      </w:r>
    </w:p>
    <w:p>
      <w:r>
        <w:t xml:space="preserve">刘小钢认为，将工资集体协商机制以立法的形式体现出来，实际也是给工人、工会争取合法权益的行为一个有力的保障，有利于形成一个员工合理分享企业发展和社会经济发展成果的有效机制。</w:t>
      </w:r>
    </w:p>
    <w:p>
      <w:r>
        <w:t xml:space="preserve">而工资的上涨可能给企业的经营带来一定的压力。对此，刘小钢认为，集体协商的好处就在于，员工可以将自己的要求提出，企业也可以将自己能承受的成本拿到桌面上来谈，大家在各自能接受的范围内去解决问题。</w:t>
      </w:r>
    </w:p>
    <w:p>
      <w:r>
        <w:t xml:space="preserve">广州明珠星集团党委书记王小跃也认为，员工工资成本的提高，企业应有合理的方式可以化解。</w:t>
      </w:r>
    </w:p>
    <w:p>
      <w:hyperlink r:id="rId41">
        <w:r>
          <w:rPr>
            <w:rStyle w:val="Link"/>
          </w:rPr>
          <w:t xml:space="preserve">来源：凤凰网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2">
        <w:r>
          <w:rPr>
            <w:rStyle w:val="Link"/>
          </w:rPr>
          <w:t xml:space="preserve">unsubscribe@charltonslaw.com</w:t>
        </w:r>
      </w:hyperlink>
    </w:p>
    <w:p>
      <w:r>
        <w:rPr>
          <w:b/>
        </w:rPr>
        <w:t xml:space="preserve">易周律师行 - 法讯 - 中国 - 第348期 - 2010年07月23日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89c93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finance.ifeng.com/money/insurance/hydt/20100723/2437960.shtml" TargetMode="External" /><Relationship Type="http://schemas.openxmlformats.org/officeDocument/2006/relationships/hyperlink" Id="rId27" Target="http://hk.stockstar.com/2010/07/2010072230241459.shtml" TargetMode="External" /><Relationship Type="http://schemas.openxmlformats.org/officeDocument/2006/relationships/hyperlink" Id="rId32" Target="http://news.ifeng.com/mainland/detail_2010_07/21/1805487_0.shtml" TargetMode="External" /><Relationship Type="http://schemas.openxmlformats.org/officeDocument/2006/relationships/hyperlink" Id="rId41" Target="http://news.ifeng.com/mainland/detail_2010_07/22/1811992_0.shtml" TargetMode="External" /><Relationship Type="http://schemas.openxmlformats.org/officeDocument/2006/relationships/hyperlink" Id="rId36" Target="http://www.caijing.com.cn/2010-07-20/110482340.html" TargetMode="External" /><Relationship Type="http://schemas.openxmlformats.org/officeDocument/2006/relationships/hyperlink" Id="rId21" Target="http://www.charltonslaw.com.cn/china-news-alerts-cn-issue-348/" TargetMode="External" /><Relationship Type="http://schemas.openxmlformats.org/officeDocument/2006/relationships/hyperlink" Id="rId30" Target="http://www.chinese.wsj.com/GB/20100720/bch102729.asp" TargetMode="External" /><Relationship Type="http://schemas.openxmlformats.org/officeDocument/2006/relationships/hyperlink" Id="rId25" Target="http://www.cs.com.cn/xwzx/11/201007/t20100720_2516728.htm" TargetMode="External" /><Relationship Type="http://schemas.openxmlformats.org/officeDocument/2006/relationships/hyperlink" Id="rId4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4" Target="http://finance.ifeng.com/money/insurance/hydt/20100723/2437960.shtml" TargetMode="External" /><Relationship Type="http://schemas.openxmlformats.org/officeDocument/2006/relationships/hyperlink" Id="rId27" Target="http://hk.stockstar.com/2010/07/2010072230241459.shtml" TargetMode="External" /><Relationship Type="http://schemas.openxmlformats.org/officeDocument/2006/relationships/hyperlink" Id="rId32" Target="http://news.ifeng.com/mainland/detail_2010_07/21/1805487_0.shtml" TargetMode="External" /><Relationship Type="http://schemas.openxmlformats.org/officeDocument/2006/relationships/hyperlink" Id="rId41" Target="http://news.ifeng.com/mainland/detail_2010_07/22/1811992_0.shtml" TargetMode="External" /><Relationship Type="http://schemas.openxmlformats.org/officeDocument/2006/relationships/hyperlink" Id="rId36" Target="http://www.caijing.com.cn/2010-07-20/110482340.html" TargetMode="External" /><Relationship Type="http://schemas.openxmlformats.org/officeDocument/2006/relationships/hyperlink" Id="rId21" Target="http://www.charltonslaw.com.cn/china-news-alerts-cn-issue-348/" TargetMode="External" /><Relationship Type="http://schemas.openxmlformats.org/officeDocument/2006/relationships/hyperlink" Id="rId30" Target="http://www.chinese.wsj.com/GB/20100720/bch102729.asp" TargetMode="External" /><Relationship Type="http://schemas.openxmlformats.org/officeDocument/2006/relationships/hyperlink" Id="rId25" Target="http://www.cs.com.cn/xwzx/11/201007/t20100720_2516728.htm" TargetMode="External" /><Relationship Type="http://schemas.openxmlformats.org/officeDocument/2006/relationships/hyperlink" Id="rId4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第348期 - 2010年07月23日</dc:title>
  <dc:creator/>
</cp:coreProperties>
</file>