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第349期</w:t>
      </w:r>
      <w:r>
        <w:t xml:space="preserve"> </w:t>
      </w:r>
      <w:r>
        <w:t xml:space="preserve">-</w:t>
      </w:r>
      <w:r>
        <w:t xml:space="preserve"> </w:t>
      </w:r>
      <w:r>
        <w:t xml:space="preserve">2010年08月02日</w:t>
      </w:r>
    </w:p>
    <w:p>
      <w:hyperlink r:id="rId21">
        <w:r>
          <w:rPr>
            <w:rStyle w:val="Link"/>
          </w:rPr>
          <w:t xml:space="preserve">网络版</w:t>
        </w:r>
      </w:hyperlink>
    </w:p>
    <w:p>
      <w:pPr>
        <w:pStyle w:val="Heading1"/>
      </w:pPr>
      <w:bookmarkStart w:id="22" w:name="法讯中国第349期"/>
      <w:bookmarkEnd w:id="22"/>
      <w:r>
        <w:t xml:space="preserve">法讯中国第349期</w:t>
      </w:r>
    </w:p>
    <w:p>
      <w:pPr>
        <w:pStyle w:val="Heading2"/>
      </w:pPr>
      <w:bookmarkStart w:id="23" w:name="资本市场-capital-markets"/>
      <w:bookmarkEnd w:id="23"/>
      <w:r>
        <w:t xml:space="preserve">资本市场 Capital Markets</w:t>
      </w:r>
    </w:p>
    <w:p>
      <w:pPr>
        <w:pStyle w:val="Heading3"/>
      </w:pPr>
      <w:bookmarkStart w:id="24" w:name="人民币小幅升值imf仍不买账"/>
      <w:bookmarkEnd w:id="24"/>
      <w:r>
        <w:t xml:space="preserve">人民币小幅升值IMF仍不买账</w:t>
      </w:r>
    </w:p>
    <w:p>
      <w:r>
        <w:t xml:space="preserve">尽管央行从上月开始重启汇改政策后，人民币小幅升值，但国际货币基金依旧不买账，IMF官员昨日表示，人民币汇率实质上仍被低估。</w:t>
      </w:r>
    </w:p>
    <w:p>
      <w:r>
        <w:t xml:space="preserve">似乎因应IMF的言论，人民币兑美元前日小幅升值，中间价来到6.7742元，较前一交易日上涨36个基点。根据IM F先前拖延的中国经济观察报告，显示人民币汇率实质上被低估。报道认为，尽管6月19日至今，人民币升值幅度已达0.7%，但IMF此举意在向北京施压， 让人民币继续大幅升值。</w:t>
      </w:r>
    </w:p>
    <w:p>
      <w:r>
        <w:t xml:space="preserve">IMF本周一召开执行委员会会议，会中并讨论这份中国经济报告。报导指，IMF认为人民币被低估的决定，受到美国、德国、法国和英国等国家支持，不过这些国家并未强迫人民币快速升值。</w:t>
      </w:r>
    </w:p>
    <w:p>
      <w:r>
        <w:t xml:space="preserve">抢在IMF召开会议前，央行副行长胡晓炼两周内三度发表文章，指出央行希望市场不再只关注人民币兑美元的单边汇率；强调人民币升值过快将会造成中国出口企业的压力；并表示弹性汇率可缓解通胀压力、并改善货币政策的效果，以扶助经济。</w:t>
      </w:r>
    </w:p>
    <w:p>
      <w:r>
        <w:t xml:space="preserve">尚不清楚IMF的决定是否会加速人民币的升值力道，还是引起北京的抵制。但从昨天的人民币汇价表现来看，除中间价小幅升值，即期价也微幅升值9个基点，收盘价来到6.7786元，人民币缓升趋势并未转变。</w:t>
      </w:r>
    </w:p>
    <w:p>
      <w:hyperlink r:id="rId25">
        <w:r>
          <w:rPr>
            <w:rStyle w:val="Link"/>
          </w:rPr>
          <w:t xml:space="preserve">来源：中金在线</w:t>
        </w:r>
      </w:hyperlink>
    </w:p>
    <w:p>
      <w:pPr>
        <w:pStyle w:val="Heading3"/>
      </w:pPr>
      <w:bookmarkStart w:id="26" w:name="中国投资机会高-居新兴市场榜首"/>
      <w:bookmarkEnd w:id="26"/>
      <w:r>
        <w:t xml:space="preserve">中国投资机会高 居新兴市场榜首</w:t>
      </w:r>
    </w:p>
    <w:p>
      <w:r>
        <w:t xml:space="preserve">Grant Thornton京都天华会计师事务所27日发布2010年新兴市场机会指数显示，中国高居27个新兴市场经济体榜首。金砖四国中，印度与俄罗斯分列第 二、三名，巴西位列第五。该机会指数考虑诸如经济规模、财富、全球贸易参与度、发展潜力、人类发展水平等重要指标，中国在这些指标中共取得454分，超过 排在第二位的印度所取得分数(222分)的两倍。</w:t>
      </w:r>
    </w:p>
    <w:p>
      <w:r>
        <w:t xml:space="preserve">Grant Thornton京都天华会计师事务所副董事长兼合伙人夏执东先生表示：“中国拥有庞大的消费者市场，经济日益开放，贸易增长极其迅速，因而存在着大量投 资机会。虽然作为新兴经济市场，中国企业也受到融资成本高和劳动力等因素的限制，但中国企业对未来乐观的气氛也突现了中国市场的投资潜力。”</w:t>
      </w:r>
    </w:p>
    <w:p>
      <w:r>
        <w:t xml:space="preserve">在Grant Thornton新兴市场机会指数排名前五位中，金砖四国占据四个位置。尽管与中国还有一定差距，印度仍然凭借其巨大的消费市场和占GDP55%的强大服 务业(中国大陆为40%)占据第二的位置。而印度计划发展的重要领域(电力、基础设施、教育和医疗保健)中也蕴藏着重大机遇。</w:t>
      </w:r>
    </w:p>
    <w:p>
      <w:r>
        <w:t xml:space="preserve">俄罗斯提供的投资机会排名第三。它的消费者群体比中国和印度要小，但是人均GDP是中国的两倍多，比印度高五倍，其水平已接近欧洲成熟经济体大城市的水平。而除了较高的人均消费水平外，俄罗斯高学历、高资质的劳动力和其稳定货币也是投资该国的重要优势。</w:t>
      </w:r>
    </w:p>
    <w:p>
      <w:r>
        <w:t xml:space="preserve">位列第五名的巴西拥有丰富的自然资源，第一产业(农业、矿业、制造业)发展成熟，享有重要区域地位，而国际地位也逐渐彰显。</w:t>
      </w:r>
    </w:p>
    <w:p>
      <w:r>
        <w:t xml:space="preserve">世界经济开始复苏，新兴市场对世界经济的重要性愈发引人关注。这些国家受经济危机的影响较小，且复苏速度更为迅捷，未来两年的增长速度将会是发达国家的两倍多。</w:t>
      </w:r>
    </w:p>
    <w:p>
      <w:hyperlink r:id="rId27">
        <w:r>
          <w:rPr>
            <w:rStyle w:val="Link"/>
          </w:rPr>
          <w:t xml:space="preserve">来源：环球网</w:t>
        </w:r>
      </w:hyperlink>
    </w:p>
    <w:p>
      <w:pPr>
        <w:pStyle w:val="Heading3"/>
      </w:pPr>
      <w:bookmarkStart w:id="28" w:name="知情人士光大银行拟于8月18日在上海上市"/>
      <w:bookmarkEnd w:id="28"/>
      <w:r>
        <w:t xml:space="preserve">知情人士：光大银行拟于8月18日在上海上市</w:t>
      </w:r>
    </w:p>
    <w:p>
      <w:r>
        <w:t xml:space="preserve">知情人士周三向道琼斯通讯社(Dow Jones Newswires)透露，中国光大银行股份有限公司(China Everbright Bank Co.)计划通过首次公开募股(IPO)筹资至多人民币200亿元（合29亿美元），并于8月18日在上海证交所上市。</w:t>
      </w:r>
    </w:p>
    <w:p>
      <w:r>
        <w:t xml:space="preserve">这家中等规模的银行原计划于2008年上市，但受全球金融危机的影响而暂时搁置了上市计划。该行今年早些时候曾计划重启IPO交易，但由于受到来自监管机构 的压力而再次推迟上市计划；证券监管机构希望首先保证中国农业银行股份有限公司(Agricultural Bank Of China Ltd., 简称：农业银行)大规模股票发行交易的顺利进行。短期内批准两项大规模上市交易表明，继去年的大规模信贷扩张之后，中国政府正在加快商业银行筹资计划的审 批速度。</w:t>
      </w:r>
    </w:p>
    <w:p>
      <w:r>
        <w:t xml:space="preserve">上述拒绝透露姓名的知情人士称，光大银行可能于周五发布募股说明书，并于下周启动IPO巡回推介。该行上周曾表示，将发行不超过61亿股以人民币计价的A股股票，随后将在上海证交所挂牌上市。若行使超额配售权，其A股发行规模将达到70亿股。</w:t>
      </w:r>
    </w:p>
    <w:p>
      <w:r>
        <w:t xml:space="preserve">该知情人士早些时候称，在完成A股IPO交易后，光大银行还计划在香港启动IPO交易，但交易的具体时机将取决于市场状况。</w:t>
      </w:r>
    </w:p>
    <w:p>
      <w:r>
        <w:t xml:space="preserve">在去年8月通过定向增发筹资人民币115亿元后，光大银行去年年底时的资本充足率已升至10.39%。但知情人士周一称，自那以后，光大银行的资本充足率已降至10%的最低要求以下。</w:t>
      </w:r>
    </w:p>
    <w:p>
      <w:r>
        <w:t xml:space="preserve">光大银行早些时候曾表示，已聘请中国国际金融有限公司(China International Capital Corp.)、申银万国证券股份有限公司(Shenyin &amp; Wanguo Securities Co.)和中国建银投资证券有限责任公司(China Jianyin Investment Securities)担任其上海IPO的承销商。</w:t>
      </w:r>
    </w:p>
    <w:p>
      <w:r>
        <w:t xml:space="preserve">中国证券监管机构于周一批准了光大银行的IPO计划。</w:t>
      </w:r>
    </w:p>
    <w:p>
      <w:hyperlink r:id="rId29">
        <w:r>
          <w:rPr>
            <w:rStyle w:val="Link"/>
          </w:rPr>
          <w:t xml:space="preserve">来源：华尔街日报</w:t>
        </w:r>
      </w:hyperlink>
    </w:p>
    <w:p>
      <w:pPr>
        <w:pStyle w:val="Heading3"/>
      </w:pPr>
      <w:bookmarkStart w:id="30" w:name="遏制热钱流入-外管局警示28家银行"/>
      <w:bookmarkEnd w:id="30"/>
      <w:r>
        <w:t xml:space="preserve">遏制热钱流入 外管局警示28家银行</w:t>
      </w:r>
    </w:p>
    <w:p>
      <w:pPr>
        <w:pStyle w:val="Heading4"/>
      </w:pPr>
      <w:bookmarkStart w:id="31" w:name="外管局警示银行外汇违规-遏制热钱流入"/>
      <w:bookmarkEnd w:id="31"/>
      <w:r>
        <w:t xml:space="preserve">外管局警示银行外汇违规 遏制热钱流入</w:t>
      </w:r>
    </w:p>
    <w:p>
      <w:r>
        <w:t xml:space="preserve">中国国家外汇管理局29日透露了最新的银行外汇检查情况，并于近期召集21家中资银行及7家外资银行开会，对目前存在的银行外汇违规问题提出警示，未来将扩大检查覆盖面，提高检查频率，遏制“热钱”流入。</w:t>
      </w:r>
    </w:p>
    <w:p>
      <w:r>
        <w:t xml:space="preserve">外管局今日对外界称，近两年外汇检查查出的银行违规行为有：银行办理代客业务时，未尽真实性审核义务，违反外汇账户、国际收支申报、资本金和个人结 售汇管理规定；在办理自身外汇业务时，违反外债、结售汇综合头寸和资产本外币转换等规定；此外，部分银行综合头寸持续低位运行、外汇贷款超常规增长、套利 型贸易融资产品增加，亦被当局关注。</w:t>
      </w:r>
    </w:p>
    <w:p>
      <w:r>
        <w:t xml:space="preserve">对部分银行受利益驱动，有意放松真实性审核要求，外管局给予了警示。外管局还指出，金融危机以来，一些银行受市场逐利因素影响，存在重业务拓展，轻合规经营的倾向。</w:t>
      </w:r>
    </w:p>
    <w:p>
      <w:r>
        <w:t xml:space="preserve">外管局称，在国际国内经济金融环境剧烈变化的形势下，中国将防范异常跨境资金流动风险，严厉打击外汇违法违规行为，未来还将提升外汇检查手段，采取 “轮检与抽检结合”的方式，扩大检查覆盖面，提高检查频率，加大对外汇违法违规行为的处罚力度，有效遏制“热钱”流入等违法违规行为。</w:t>
      </w:r>
    </w:p>
    <w:p>
      <w:pPr>
        <w:pStyle w:val="Heading4"/>
      </w:pPr>
      <w:bookmarkStart w:id="32" w:name="银行外汇业务三大漏洞被曝光"/>
      <w:bookmarkEnd w:id="32"/>
      <w:r>
        <w:t xml:space="preserve">银行外汇业务三大漏洞被曝光</w:t>
      </w:r>
    </w:p>
    <w:p>
      <w:r>
        <w:t xml:space="preserve">国家外汇管理局(以下简称“外管局”)昨日通报了银行最新外汇检查情况，严厉指出银行外汇业务中存在的三大漏洞。同时，外管局可能将于近期展开更大规模的检查。</w:t>
      </w:r>
    </w:p>
    <w:p>
      <w:r>
        <w:t xml:space="preserve">外管局通报的银行外汇业务违规情况主要表现为：银行办理代客业务时，没尽到真实性审核义务，存在违反外汇账户、国际收支申报、资本金和个人结售汇管 理规定的情况；在办理自身外汇业务时，违反外债、结售汇综合头寸和资产本外币转换等规定。另外，部分银行综合头寸持续低位运行、外汇贷款超常规增长、套利 型贸易融资产品增加的情况也受到了关注。</w:t>
      </w:r>
    </w:p>
    <w:p>
      <w:r>
        <w:t xml:space="preserve">银行存在上述违规问题，一是由于个别银行依法合规经营意识不强，部分银行受利益驱动，甚至有意放松真实性审核要求；二是银行内控机制不够健全，相关管理制度执行力有待进一步提高；三是金融危机以来，一些银行受市场逐利因素影响，存在重业务拓展、轻合规经营的倾向。</w:t>
      </w:r>
    </w:p>
    <w:p>
      <w:r>
        <w:t xml:space="preserve">通报中虽没有提及任何一家银行的名字，但外管局表示，将进一步扩大对各家银行的检查覆盖面，提高检查频率。其实在7月初，外管局曾在《科学全面看 “热钱”》中提到，个别银行在办理日常业务中对单证审核不严，有的银行逐利，主动“配合”客户进行业务“创新”，为企业规避外汇管理导入资金提供便利。</w:t>
      </w:r>
    </w:p>
    <w:p>
      <w:r>
        <w:t xml:space="preserve">据公开资料显示，农历新年刚过，外管局便展开了新一轮的外汇资金情况专项检查，意在有效遏制“热钱”流入，专项行动共非现场排查跨境交易347万 笔，累计排查金额4400多亿美元。截至目前，已查实190起涉嫌违规案件，涉案金额73.5亿美元，其中已办结6起，涉案金额2700多万美元。</w:t>
      </w:r>
    </w:p>
    <w:p>
      <w:r>
        <w:t xml:space="preserve">“外管局选择此时通报银行外汇业务检查情况，主要是由于5月和6月流出的‘热钱’近日又呈现回流态势，而7月的资本市场开始出现活跃的苗头，海外‘热钱’一直觊觎楼市、股市，并开始悄然加码A股市场。”分析人士指出。</w:t>
      </w:r>
    </w:p>
    <w:p>
      <w:r>
        <w:t xml:space="preserve">上述人士同时表示，央行二季度经济形势经济分析会议提到，下半年要实行适度宽松的货币政策，给“无孔不入”的热钱带来了可乘之机，而且“热钱”的快进快出也扩大了安全隐患。外管局同时表示，将采取“轮检与抽检结合”的方式，规避“热钱”流入带来的风险。</w:t>
      </w:r>
    </w:p>
    <w:p>
      <w:pPr>
        <w:pStyle w:val="Heading4"/>
      </w:pPr>
      <w:bookmarkStart w:id="33" w:name="境外热钱再杀回马枪"/>
      <w:bookmarkEnd w:id="33"/>
      <w:r>
        <w:t xml:space="preserve">境外热钱再杀回马枪</w:t>
      </w:r>
    </w:p>
    <w:p>
      <w:r>
        <w:t xml:space="preserve">翻手为云覆手为雨。热钱短期性、投机性和双向流动的本性在金融危机后暴露无遗，短短一年多时间，逐利热钱已经几进几出，流动频率明显加快。</w:t>
      </w:r>
    </w:p>
    <w:p>
      <w:r>
        <w:t xml:space="preserve">今年一季度境外热钱还大举流入，推高国内资产价格。然而进入5月以来，热钱突然变脸掉头外流，恰与Ａ股市场一路下行形成一致。一些迹象显示，经过两个月多的潜伏，近期境外热钱又出现伺机入市的迹象，觊觎中国股市楼市。</w:t>
      </w:r>
    </w:p>
    <w:p>
      <w:pPr>
        <w:pStyle w:val="Heading4"/>
      </w:pPr>
      <w:bookmarkStart w:id="34" w:name="觊觎中国股市楼市"/>
      <w:bookmarkEnd w:id="34"/>
      <w:r>
        <w:t xml:space="preserve">觊觎中国股市楼市</w:t>
      </w:r>
    </w:p>
    <w:p>
      <w:r>
        <w:t xml:space="preserve">一些迹象显示，海外资金悄然加码Ａ股市场，境外买家又进入一线城市中高档物业。经过两个月多的潜伏，境外热钱又出现伺机入市的迹象。</w:t>
      </w:r>
    </w:p>
    <w:p>
      <w:r>
        <w:t xml:space="preserve">就在A股市场底部震动之时，海外资金却悄然加码。理柏公司最新资产数据显示，新华富时Ａ50中国基金持续2个月呈现净申购，5月当月净申购增幅达 11.63％。来自海外一些QFII基金的信息显示，海外资金近期一直在增添Ａ股投资力度。尽管海外客户在二季度前选择赎回，但6月初以来海外资金一向在 小幅加仓，有些基金甚至已经用足了外汇额度。</w:t>
      </w:r>
    </w:p>
    <w:p>
      <w:r>
        <w:t xml:space="preserve">在房地产市场方面，境外人士对上海等地中高端物业的兴趣并未削弱。在境外人士集中的上海古北、联洋等地，来自日本、韩国等国及香港特区、台湾省的购 房者仍然活跃。房地产相关人士暗示，日元、韩元近年来贬值相当厉害，人民币升值预期加上近期高档房价高位盘整，投资中高档地产也许是一个长远投资之举。</w:t>
      </w:r>
    </w:p>
    <w:p>
      <w:r>
        <w:t xml:space="preserve">海外投资银行对中国经济的观点也在改变。摩根士丹利、日本野村证券等多家海外机构近日发布的研究报告认为，中国Ａ股自去年11月份以来的持续性下降已经近尾声，市场很可能在下半年呈现根本性扭转。</w:t>
      </w:r>
    </w:p>
    <w:p>
      <w:r>
        <w:t xml:space="preserve">一些市场人士表示，热钱再次入境似乎只是时间问题。</w:t>
      </w:r>
    </w:p>
    <w:p>
      <w:pPr>
        <w:pStyle w:val="Heading4"/>
      </w:pPr>
      <w:bookmarkStart w:id="35" w:name="热钱波动频率加快"/>
      <w:bookmarkEnd w:id="35"/>
      <w:r>
        <w:t xml:space="preserve">热钱波动频率加快</w:t>
      </w:r>
    </w:p>
    <w:p>
      <w:r>
        <w:t xml:space="preserve">2008年10月后，金融危机导致热钱撤离，我国外汇储备一度出现不增反减现象，随后中国率先复苏的信号再次吸引逐利热钱自2009年年中快速涌入。</w:t>
      </w:r>
    </w:p>
    <w:p>
      <w:r>
        <w:t xml:space="preserve">然而，当年底迪拜债务危机风波爆发，境内套利热钱再次出现一波流出迹象，但很快随即反手做多人民币资产。但令人意外的是，今年5月份以来，热钱又一次掉头外流。</w:t>
      </w:r>
    </w:p>
    <w:p>
      <w:r>
        <w:t xml:space="preserve">热钱外流可以从央行近期公布的外汇占款和外汇储备数据中得以验证。今年5月、6月我国新增外汇占款环比分别下降54％和11％，出现近年来的新低。 5月我国外汇储备减少了510.06亿美元，接下来的6月仅增加147.69亿美元，与此同时，贸易顺差却呈现大幅增长、FDI也继续流入以热钱规模一般 化测算模型“新增外汇占款－贸易顺差－FDI”测算，确有其他类型的外资当时在流出。</w:t>
      </w:r>
    </w:p>
    <w:p>
      <w:r>
        <w:t xml:space="preserve">对于“热钱”逆流的原因，一位外汇局人士告诉记者，热钱流动与国际金融形势密切相关。</w:t>
      </w:r>
    </w:p>
    <w:p>
      <w:r>
        <w:t xml:space="preserve">5月份以后欧债危机扩大，国际市场状况连连恶化，资金的风险偏好水平降低。与此同时，中国政策环境也发生了变化，在看不清投资前景的情况下，一些“热钱”选择了撤出。</w:t>
      </w:r>
    </w:p>
    <w:p>
      <w:r>
        <w:t xml:space="preserve">市场人士分析，近期热钱可能再次伺机流入，因为中国经济发展虽然减速，但持续向好发展，各国都印发了许多货币，流动性增强。</w:t>
      </w:r>
    </w:p>
    <w:p>
      <w:pPr>
        <w:pStyle w:val="Heading4"/>
      </w:pPr>
      <w:bookmarkStart w:id="36" w:name="升值与热钱流入正相关"/>
      <w:bookmarkEnd w:id="36"/>
      <w:r>
        <w:t xml:space="preserve">升值与热钱流入正相关</w:t>
      </w:r>
    </w:p>
    <w:p>
      <w:r>
        <w:t xml:space="preserve">经验显示，人民币升值预期也与热钱流入的变动呈现正相关。</w:t>
      </w:r>
    </w:p>
    <w:p>
      <w:r>
        <w:t xml:space="preserve">如，2009年10月到2010年4月，NDF市场(无本金交割远期外汇市场)1年期人民币升值预期为3％左右，热钱也持续数月流入我国。然而5月 份以来美元升值、欧元大幅贬值，人民币升值预期骤降至2％以下，热钱也呈现流出迹象。6月21日汇改重启后，人民币双向浮动的态势明显，升值预期继续回 落。目前，NDF中反映市场预期一年后人民币对美元的升值幅度仅为1.2％，热钱流入的动力仍然微弱。</w:t>
      </w:r>
    </w:p>
    <w:p>
      <w:r>
        <w:t xml:space="preserve">德意志银行大中华区首席经济学家马骏指出，此次汇改重启后，人民币汇率浮动更重视一篮子货币的作用，美元兑人民币汇率出现更多双向波动，人民币动态趋向合理均衡汇率水平的机制正逐步形成。</w:t>
      </w:r>
    </w:p>
    <w:p>
      <w:r>
        <w:t xml:space="preserve">多家国内外金融机构在下半年经济展望报告中预测，人民币兑美元年内升值幅度将在2％～3％左右，若突破这一幅度，对整体经济的负面影响会明显增大，并将加大市场对经济下行风险的担忧。</w:t>
      </w:r>
    </w:p>
    <w:p>
      <w:r>
        <w:t xml:space="preserve">分析人士指出，监控热钱不仅要堵，更要疏。除监控方面堵住热钱入境之路外，还应疏通国内资源、资金价格体系，发挥市场机制作用。</w:t>
      </w:r>
    </w:p>
    <w:p>
      <w:hyperlink r:id="rId37">
        <w:r>
          <w:rPr>
            <w:rStyle w:val="Link"/>
          </w:rPr>
          <w:t xml:space="preserve">来源：易阔每日财经</w:t>
        </w:r>
      </w:hyperlink>
    </w:p>
    <w:p>
      <w:pPr>
        <w:pStyle w:val="Heading3"/>
      </w:pPr>
      <w:bookmarkStart w:id="38" w:name="中投去年境外投资组合回报率11.7"/>
      <w:bookmarkEnd w:id="38"/>
      <w:r>
        <w:t xml:space="preserve">中投去年境外投资组合回报率11.7%</w:t>
      </w:r>
    </w:p>
    <w:p>
      <w:r>
        <w:t xml:space="preserve">成立将近三年的中国投资有限责任公司（简称“中投公司”）29日发布的《2009年年度报告》显示，去年实现净利润416.6亿美元，较2008年 的231亿美元几乎翻番。截至2009年12月31日，中投公司境外全球投资组合回报率达到11.7%，中投公司总资本回报率为12.9%。</w:t>
      </w:r>
    </w:p>
    <w:p>
      <w:pPr>
        <w:pStyle w:val="Heading4"/>
      </w:pPr>
      <w:bookmarkStart w:id="39" w:name="境外投资资金90配置完毕"/>
      <w:bookmarkEnd w:id="39"/>
      <w:r>
        <w:t xml:space="preserve">境外投资资金90%配置完毕</w:t>
      </w:r>
    </w:p>
    <w:p>
      <w:r>
        <w:t xml:space="preserve">在中投公司2000亿美元的注册资本金中，用于境外投资的部分略高于50%，其余部分则通过中央汇金公司投资境内金融机构。据相关人士透露，截至目前，中投公司用于境外投资的1100亿美元，90%已经完成配置。</w:t>
      </w:r>
    </w:p>
    <w:p>
      <w:r>
        <w:t xml:space="preserve">年报显示，中投公司在2009年加快了投资步伐，在2000亿美元的注册资本金中，全球投资总额达到580亿美元。中投公司表示，2008年，在全球经济持续恶化的背景下，公司主动放缓了投资节奏。在全球经济出现复苏迹象后，公司在2009年5月加快了投资布局。</w:t>
      </w:r>
    </w:p>
    <w:p>
      <w:r>
        <w:t xml:space="preserve">年报披露了中投公司全球组合资产分布状况。投资组合在体现多样化的同时，主要集中在全球公开市场股票和债券上。其中，现金和现金产品占32%，股权占36%，固定收益占26%，另类投资占6%。</w:t>
      </w:r>
    </w:p>
    <w:p>
      <w:r>
        <w:t xml:space="preserve">此外，中投公司表示，2009年，公司全球投资组合中的单项大额投资基本上都是直接投资。根据各个项目的特点，采取灵活的交易结构，包括公开市场股票、私募股权、结构性产品和其他产品等。2009年，这些直接投资主要集中在自然资源、基础设施和金融服务等各行业。</w:t>
      </w:r>
    </w:p>
    <w:p>
      <w:r>
        <w:t xml:space="preserve">“作为长期投资者，我们对未来充满信心。”中投公司董事长兼首席执行官楼继伟在年报致辞中表示，在全体员工的不懈努力下，中投公司力争在新的一年里继续为股东创造稳定、长期和良好的财务回报。</w:t>
      </w:r>
    </w:p>
    <w:p>
      <w:pPr>
        <w:pStyle w:val="Heading4"/>
      </w:pPr>
      <w:bookmarkStart w:id="40" w:name="有效控制投资组合风险"/>
      <w:bookmarkEnd w:id="40"/>
      <w:r>
        <w:t xml:space="preserve">有效控制投资组合风险</w:t>
      </w:r>
    </w:p>
    <w:p>
      <w:r>
        <w:t xml:space="preserve">在中投公司境外投资迅速增加的同时，风险也得到了有效控制。中投公司将大量的现金资产用于境外投资，使得公司的整体投资组合（含现金）的风险水平有所上升。但同时，境外投资组合的风险水平因投资类别的分散化，以及对风险的有效管理而有显著下降。</w:t>
      </w:r>
    </w:p>
    <w:p>
      <w:r>
        <w:t xml:space="preserve">相关人士介绍，中投公司建立了全面的风险管理体系来管理市场、信用、行业、国别和汇率风险，并新增了专门的人员和岗位，进一步提升运营风险的内控管 理。中投公司使用国际通行的风险管理系统进行风险分析和评估，认真核算公司的投资组合风险，确保公司的风险敞口维持在合理和可控范围之内。</w:t>
      </w:r>
    </w:p>
    <w:p>
      <w:r>
        <w:t xml:space="preserve">中投公司董事长楼继伟表示，在过去的一年，面对金融危机带来的严峻影响，中投公司继续加强了机构和能力建设，始终铭记公司的宗旨，秉承核心价值观，恪守既定的投资原则，获得了较好的发展。</w:t>
      </w:r>
    </w:p>
    <w:p>
      <w:hyperlink r:id="rId41">
        <w:r>
          <w:rPr>
            <w:rStyle w:val="Link"/>
          </w:rPr>
          <w:t xml:space="preserve">来源：网易</w:t>
        </w:r>
      </w:hyperlink>
    </w:p>
    <w:p>
      <w:pPr>
        <w:pStyle w:val="Heading3"/>
      </w:pPr>
      <w:bookmarkStart w:id="42" w:name="农业银行称已悉数行使h股超额配售权占初步全球发售股份约15"/>
      <w:bookmarkEnd w:id="42"/>
      <w:r>
        <w:t xml:space="preserve">农业银行称已悉数行使H股超额配售权,占初步全球发售股份约15%</w:t>
      </w:r>
    </w:p>
    <w:p>
      <w:r>
        <w:t xml:space="preserve">中国第三大银行--中国农业银行(1288)周四称,已悉数行使全球发售的超额配售权,共涉38.12亿股H股,占初步全球发售的发售股份约15%.</w:t>
      </w:r>
    </w:p>
    <w:p>
      <w:r>
        <w:t xml:space="preserve">农行在公告中称,经扣除开支後,该行发行超额配售股份所得净募集资金约119.6亿港元.</w:t>
      </w:r>
    </w:p>
    <w:p>
      <w:r>
        <w:t xml:space="preserve">公告并指出,根据中国有关国有股转持相关的规定,农行的国有股东须按其各自占本行的股权比例,向社保基金理事会转让3.81亿股A股,合计相当于该行因行 使全球发售的超额配售权而发行的H股数目的10%,或向社保基金理事会支付以发售价计算的等价现金.国有股东向社保基金理事会转让的A股将以一兑一的基准 转换为H股.</w:t>
      </w:r>
    </w:p>
    <w:p>
      <w:r>
        <w:t xml:space="preserve">此前,农行已宣布行使A股的超额配售权.</w:t>
      </w:r>
    </w:p>
    <w:p>
      <w:r>
        <w:t xml:space="preserve">农行H股周三收报3.58港元,升2%.</w:t>
      </w:r>
    </w:p>
    <w:p>
      <w:hyperlink r:id="rId43">
        <w:r>
          <w:rPr>
            <w:rStyle w:val="Link"/>
          </w:rPr>
          <w:t xml:space="preserve">来源：路透</w:t>
        </w:r>
      </w:hyperlink>
    </w:p>
    <w:p>
      <w:pPr>
        <w:pStyle w:val="Heading2"/>
      </w:pPr>
      <w:bookmarkStart w:id="44" w:name="公司corporate"/>
      <w:bookmarkEnd w:id="44"/>
      <w:r>
        <w:t xml:space="preserve">公司Corporate</w:t>
      </w:r>
    </w:p>
    <w:p>
      <w:pPr>
        <w:pStyle w:val="Heading3"/>
      </w:pPr>
      <w:bookmarkStart w:id="45" w:name="国家电网公司与俄罗斯联邦电网公司签署合作框架协议"/>
      <w:bookmarkEnd w:id="45"/>
      <w:r>
        <w:t xml:space="preserve">国家电网公司与俄罗斯联邦电网公司签署合作框架协议</w:t>
      </w:r>
    </w:p>
    <w:p>
      <w:r>
        <w:t xml:space="preserve">7月26日，中国国家电网公司与俄罗斯联邦电网公司在上海签署合作框架协议。此举落实了6月公司总经理刘振亚与俄罗斯联邦电网公司总裁布达尔金会晤的精神，将对中俄电力合作产生积极影响。</w:t>
      </w:r>
    </w:p>
    <w:p>
      <w:r>
        <w:t xml:space="preserve">7月26日上午，公司副总经理舒印彪与俄罗斯联邦电网公司副总裁特罗申科夫就两公司合作事宜进行了深入沟通，就合作框架协议达成一致。随后，舒印彪与俄罗斯联邦电网公司副总裁别尔德尼科夫代表双方签署协议文件。</w:t>
      </w:r>
    </w:p>
    <w:p>
      <w:r>
        <w:t xml:space="preserve">针对下一步合作，舒印彪表示，希望抓紧落实框架合作协议中涉及的技术经验交流、电网建设及运营管理、电力设备供应、电网技术咨询等合作内容，希望双 方成立联合工作组，就框架合作协议确定的主要合作领域加紧开展相关工作，积极推进已纳入两国政府能源合作框架的合作项目。双方都运行管理大型互联电网，在 电网规划、设计、科研、建设、运营和管理等各方面都具有良好的合作前景。希望双方加强合作交流，共同推动中俄电力能源合作取得新成果。对此，俄罗斯联邦电 网公司方面作出了积极回应。</w:t>
      </w:r>
    </w:p>
    <w:p>
      <w:r>
        <w:t xml:space="preserve">俄罗斯联邦电网公司总裁顾问博布罗夫、企业管理部主任富尔加里斯基，公司总经理助理杜至刚等出席签字仪式。</w:t>
      </w:r>
    </w:p>
    <w:p>
      <w:r>
        <w:t xml:space="preserve">特罗申科夫一行在沪期间，参观了向家坝—上海±800千伏特高压直流输电示范工程奉贤换流站、500千伏静安变电站，对公司在电网领域取得的创新发展成果表示赞赏。</w:t>
      </w:r>
    </w:p>
    <w:p>
      <w:hyperlink r:id="rId46">
        <w:r>
          <w:rPr>
            <w:rStyle w:val="Link"/>
          </w:rPr>
          <w:t xml:space="preserve">来源：凤凰网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7">
        <w:r>
          <w:rPr>
            <w:rStyle w:val="Link"/>
          </w:rPr>
          <w:t xml:space="preserve">unsubscribe@charltonslaw.com</w:t>
        </w:r>
      </w:hyperlink>
    </w:p>
    <w:p>
      <w:r>
        <w:rPr>
          <w:b/>
        </w:rPr>
        <w:t xml:space="preserve">易周律师行 - 法讯 - 中国 - 第349期 - 2010年08月02日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1d660c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3" Target="http://cn.reuters.com/article/companyNews/idCNnCH007550020100729" TargetMode="External" /><Relationship Type="http://schemas.openxmlformats.org/officeDocument/2006/relationships/hyperlink" Id="rId29" Target="http://cn.wsj.com/gb/20100728/bch153442.asp" TargetMode="External" /><Relationship Type="http://schemas.openxmlformats.org/officeDocument/2006/relationships/hyperlink" Id="rId27" Target="http://finance.huanqiu.com/roll/2010-07/966253.html" TargetMode="External" /><Relationship Type="http://schemas.openxmlformats.org/officeDocument/2006/relationships/hyperlink" Id="rId46" Target="http://finance.ifeng.com/roll/20100728/2453070.shtml" TargetMode="External" /><Relationship Type="http://schemas.openxmlformats.org/officeDocument/2006/relationships/hyperlink" Id="rId37" Target="http://headline.yikuo.com/news/2010-07-30/1005_20107308194210054512259.htm" TargetMode="External" /><Relationship Type="http://schemas.openxmlformats.org/officeDocument/2006/relationships/hyperlink" Id="rId41" Target="http://news.163.com/10/0730/02/6CQCVP2600014AED.html" TargetMode="External" /><Relationship Type="http://schemas.openxmlformats.org/officeDocument/2006/relationships/hyperlink" Id="rId21" Target="http://www.charltonslaw.com.cn/china-news-alerts-cn-issue-349/" TargetMode="External" /><Relationship Type="http://schemas.openxmlformats.org/officeDocument/2006/relationships/hyperlink" Id="rId25" Target="http://yndt.bank.cnfol.com/100729/137,1410,8112680,00.shtml" TargetMode="External" /><Relationship Type="http://schemas.openxmlformats.org/officeDocument/2006/relationships/hyperlink" Id="rId4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43" Target="http://cn.reuters.com/article/companyNews/idCNnCH007550020100729" TargetMode="External" /><Relationship Type="http://schemas.openxmlformats.org/officeDocument/2006/relationships/hyperlink" Id="rId29" Target="http://cn.wsj.com/gb/20100728/bch153442.asp" TargetMode="External" /><Relationship Type="http://schemas.openxmlformats.org/officeDocument/2006/relationships/hyperlink" Id="rId27" Target="http://finance.huanqiu.com/roll/2010-07/966253.html" TargetMode="External" /><Relationship Type="http://schemas.openxmlformats.org/officeDocument/2006/relationships/hyperlink" Id="rId46" Target="http://finance.ifeng.com/roll/20100728/2453070.shtml" TargetMode="External" /><Relationship Type="http://schemas.openxmlformats.org/officeDocument/2006/relationships/hyperlink" Id="rId37" Target="http://headline.yikuo.com/news/2010-07-30/1005_20107308194210054512259.htm" TargetMode="External" /><Relationship Type="http://schemas.openxmlformats.org/officeDocument/2006/relationships/hyperlink" Id="rId41" Target="http://news.163.com/10/0730/02/6CQCVP2600014AED.html" TargetMode="External" /><Relationship Type="http://schemas.openxmlformats.org/officeDocument/2006/relationships/hyperlink" Id="rId21" Target="http://www.charltonslaw.com.cn/china-news-alerts-cn-issue-349/" TargetMode="External" /><Relationship Type="http://schemas.openxmlformats.org/officeDocument/2006/relationships/hyperlink" Id="rId25" Target="http://yndt.bank.cnfol.com/100729/137,1410,8112680,00.shtml" TargetMode="External" /><Relationship Type="http://schemas.openxmlformats.org/officeDocument/2006/relationships/hyperlink" Id="rId4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第349期 - 2010年08月02日</dc:title>
  <dc:creator/>
</cp:coreProperties>
</file>