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第350期</w:t>
      </w:r>
      <w:r>
        <w:t xml:space="preserve"> </w:t>
      </w:r>
      <w:r>
        <w:t xml:space="preserve">-</w:t>
      </w:r>
      <w:r>
        <w:t xml:space="preserve"> </w:t>
      </w:r>
      <w:r>
        <w:t xml:space="preserve">2010年09月03日</w:t>
      </w:r>
    </w:p>
    <w:p>
      <w:hyperlink r:id="rId21">
        <w:r>
          <w:rPr>
            <w:rStyle w:val="Link"/>
          </w:rPr>
          <w:t xml:space="preserve">网络版</w:t>
        </w:r>
      </w:hyperlink>
    </w:p>
    <w:p>
      <w:pPr>
        <w:pStyle w:val="Heading1"/>
      </w:pPr>
      <w:bookmarkStart w:id="22" w:name="法讯中国第350期"/>
      <w:bookmarkEnd w:id="22"/>
      <w:r>
        <w:t xml:space="preserve">法讯中国第350期</w:t>
      </w:r>
    </w:p>
    <w:p>
      <w:pPr>
        <w:pStyle w:val="Heading2"/>
      </w:pPr>
      <w:bookmarkStart w:id="23" w:name="资本市场-capital-markets"/>
      <w:bookmarkEnd w:id="23"/>
      <w:r>
        <w:t xml:space="preserve">资本市场 Capital Markets</w:t>
      </w:r>
    </w:p>
    <w:p>
      <w:pPr>
        <w:pStyle w:val="Heading3"/>
      </w:pPr>
      <w:bookmarkStart w:id="24" w:name="央行胡晓炼将考虑允许用人民币从事对外投资"/>
      <w:bookmarkEnd w:id="24"/>
      <w:r>
        <w:t xml:space="preserve">央行胡晓炼:将考虑允许用人民币从事对外投资</w:t>
      </w:r>
    </w:p>
    <w:p>
      <w:r>
        <w:t xml:space="preserve">中国人民银行副行长胡晓炼接受媒体采访时说，中国将继续放松对人民币跨境使用的管制，下一步还将考虑允许企业使用人民币从事对外投资。</w:t>
      </w:r>
    </w:p>
    <w:p>
      <w:r>
        <w:t xml:space="preserve">中国社科院金融研究所经济评价中心主任刘煜辉对《每日经济新闻》记者表示："中国允许使用人民币从事对外投资，关键看被投资国是否接受人民币以及央行如何使得人民币回流。这些取决于国内人民币债券市场和金融市场的发展程度。央行总的想法是改变目前货币供应机制。"</w:t>
      </w:r>
    </w:p>
    <w:p>
      <w:r>
        <w:t xml:space="preserve">上述消息称，胡晓炼表示，中国还将为一个 "小型合格境外机构投资者"（小QFII）计划放行。小QFII指的是在现有的 "合格境外机构投资者"（QFII）的基础上进行修改，使境外人民币存款得以回到大陆资本市场投资。</w:t>
      </w:r>
    </w:p>
    <w:p>
      <w:r>
        <w:t xml:space="preserve">上周，中国人民银行下属的国家外汇管理局表示，境外金融机构将获准在中国银行间债券市场进行人民币投资。小QFII将计划与之分开实行，至于具体推出时间，她没有给出任何细节。</w:t>
      </w:r>
    </w:p>
    <w:p>
      <w:r>
        <w:t xml:space="preserve">新的汇率政策强调中国将更少地关注于管理人民币对美元汇率，而更多地关注包含所有主要贸易伙伴的一篮子货币。</w:t>
      </w:r>
    </w:p>
    <w:p>
      <w:r>
        <w:t xml:space="preserve">胡晓炼指出，中国通过刺激国内消费，在实现本国经济的再平衡方面正取得长足进步。但她也像中国领导人经常说的那样指出，美国也需要改革，特别是不要依靠借款来刺激消费。</w:t>
      </w:r>
    </w:p>
    <w:p>
      <w:hyperlink r:id="rId25">
        <w:r>
          <w:rPr>
            <w:rStyle w:val="Link"/>
          </w:rPr>
          <w:t xml:space="preserve">来源：中国日报网</w:t>
        </w:r>
      </w:hyperlink>
    </w:p>
    <w:p>
      <w:pPr>
        <w:pStyle w:val="Heading3"/>
      </w:pPr>
      <w:bookmarkStart w:id="26" w:name="内地对冲基金大门敲开-易方达抢下头单"/>
      <w:bookmarkEnd w:id="26"/>
      <w:r>
        <w:t xml:space="preserve">内地对冲基金大门敲开 易方达抢下"头单"</w:t>
      </w:r>
    </w:p>
    <w:p>
      <w:r>
        <w:t xml:space="preserve">农内地第一只真正意义上的对冲基金在易方达基金管理有限公司麾下诞生。记者从相关渠道获悉，易方达基金管理有限公司已签订了一份采用对冲基金策略的专户"一对一"协议，目前易方达、客户和托管行完成三方会签并已向证监会报备。据了解，该产品应该是国内基金业管理的首只主要采用对冲策略进行投资的产品。</w:t>
      </w:r>
    </w:p>
    <w:p>
      <w:r>
        <w:t xml:space="preserve">据悉易方达基金管理有限公司已获准进行这种操作，循惯例，数日之内应有10多家类似基金获批。业内人士预计，对冲基金产品将迅速扩容，未来规模或达到基金市场10%~15%的水平。</w:t>
      </w:r>
    </w:p>
    <w:p>
      <w:r>
        <w:t xml:space="preserve">《财经》记者连线易方达基金市场部相关业务负责人获悉，"头炮"产品由易方达指数与量化投资部总经理刘震担任投资经理。刘震1995年在华尔街开始职业生涯，在D.E.Shaw&amp;Co等多家公司从事过量化投资相关工作。2009年底加盟易方达基金公司，并组建了指数与量化投资部。据悉，易方达已研发出了多种对冲基金策略和产品，并做了充分的后台支持准备，目前该部门已有7人。</w:t>
      </w:r>
    </w:p>
    <w:p>
      <w:r>
        <w:t xml:space="preserve">针对内地首只对冲基金，《财经》记者连线了上海君富投资管理有限公司副董事长高汝昆先生，他认为从中短期来看并不是很看好这只产品，因为内地的投资者依然喜欢单边上涨的行情，对冲的操作手法对于投资者而言还需要一个认知的过程，但从长期来看，他认为对冲才是投资的本质，作为私募基金同样也是跃跃欲试，并逐步会加大投入成本。</w:t>
      </w:r>
    </w:p>
    <w:p>
      <w:r>
        <w:t xml:space="preserve">记者同时也联系了德圣基金高级基金分析师肖锋，他认为此产品是适应国内大环境的产物，俗话说"有了土壤，产品迟早会出来，但也仅仅是萌芽阶段"，但展恒理财研究总监谢银霞女士却认为在国内市场下实现真正的对冲会很难，上海很多从华尔街回来的私募牛人一直在筹备对冲基金但进展却很缓慢，所以对该只产品的发展她保持观望的态度。</w:t>
      </w:r>
    </w:p>
    <w:p>
      <w:r>
        <w:t xml:space="preserve">英国《金融时报》专栏作家Lex也持类似观点。在他的文章里提到“投资者应该对"中国首只对冲基金"有所保留，因为中国股市仍是投机者的天下，他们更关心涨跌势头，而非价值。对冲基金虽然可以成为化解系统性下跌风险的工具，但同时也可能放大投机风险。</w:t>
      </w:r>
    </w:p>
    <w:p>
      <w:r>
        <w:t xml:space="preserve">伴随着股指期货和融资融券的相继推出，证监会同时也明确公募基金可以以套期保值为目的参与股指期货交易，易方达首只对冲基金产品的诞生意味着股指期货的机构时代的来临，也将中国资产管理行业正式推进到对冲基金阶段。</w:t>
      </w:r>
    </w:p>
    <w:p>
      <w:r>
        <w:t xml:space="preserve">公开资料显示，自从阿尔弗莱德-琼斯1949年在美国建立第一只对冲基金以来，对冲基金目前在成熟市场已逐渐成为主流，管理资产超过2万亿美元，在资本市场中举足轻重。</w:t>
      </w:r>
    </w:p>
    <w:p>
      <w:hyperlink r:id="rId27">
        <w:r>
          <w:rPr>
            <w:rStyle w:val="Link"/>
          </w:rPr>
          <w:t xml:space="preserve">来源：财经网</w:t>
        </w:r>
      </w:hyperlink>
    </w:p>
    <w:p>
      <w:pPr>
        <w:pStyle w:val="Heading2"/>
      </w:pPr>
      <w:bookmarkStart w:id="28" w:name="公司-corporate"/>
      <w:bookmarkEnd w:id="28"/>
      <w:r>
        <w:t xml:space="preserve">公司 Corporate</w:t>
      </w:r>
    </w:p>
    <w:p>
      <w:pPr>
        <w:pStyle w:val="Heading3"/>
      </w:pPr>
      <w:bookmarkStart w:id="29" w:name="银监会鼓励民资重组高风险农信社"/>
      <w:bookmarkEnd w:id="29"/>
      <w:r>
        <w:t xml:space="preserve">银监会鼓励民资重组高风险农信社</w:t>
      </w:r>
    </w:p>
    <w:p>
      <w:r>
        <w:t xml:space="preserve">日前，银监会出台《关于高风险农村信用社并购重组的指导意见》，要求各地通过并购重组加快高风险农村信用社风险化解。为贯彻落实"国36条"精神，银监会扩大了金融领域对民间资本的开放，根据《指导意见》，民间资本可参与高风险农信社的并购重组。</w:t>
      </w:r>
    </w:p>
    <w:p>
      <w:r>
        <w:t xml:space="preserve">银监会规定，境内银行业金融机构最高可按100%的持股比例全资并购，境外银行业金融机构持股比例应符合《境外金融机构投资入股中资金融机构管理办法》等相关规定。民间资本中的单个企业及其关联方合计持有一家高风险农村信用社股本总额的比例可以达到20%，因特殊原因持股比例超过20%的，随并购后农村信用社经营管理进入良性状态，其持股比例应有计划逐步减持至20%。</w:t>
      </w:r>
    </w:p>
    <w:p>
      <w:r>
        <w:t xml:space="preserve">《指导意见》指出，并购要以有效化解风险、提升管理水平和增强支农服务能力为主要目标，坚持政府扶持、市场运作、依法合规、合作共赢的原则，要求并购重组的同时实施股份制改造，按现代金融企业的目标和要求，提升被并购机构经营管理水平，确保持续稳健发展。</w:t>
      </w:r>
    </w:p>
    <w:p>
      <w:r>
        <w:t xml:space="preserve">银监会在《指导意见》中明确，并购重组的对象为监管评级六级以及监管评级为五B级且主要监管指标呈下行恶化趋势的农村信用社（以县为单位）。商业银行、农村合作金融机构、非银行金融机构及优质企业均可作为并购方实施并购。并购方为金融机构的，监管评级至少在二级及以上，并购后并表测算主要监管指标不低于相应的审慎监管标准。企业应符合向农村信用社投资入股资本的有关规定。</w:t>
      </w:r>
    </w:p>
    <w:p>
      <w:r>
        <w:t xml:space="preserve">《指导意见》还要求，监管机构要切实加强对并购重组的监管，严控道德风险和关联交易风险。加强对并购方资质监管和注资监管，严防恶意收购，严厉打击虚假注资、贷款注资及抽逃资本行为。加强关联交易监管，原则上被并购机构不得对控股股东授信，控股股东不得谋取股权收益之外的其他收益。此外，要加强对并购重组的后评估，确保实现并购重组目标。</w:t>
      </w:r>
    </w:p>
    <w:p>
      <w:hyperlink r:id="rId30">
        <w:r>
          <w:rPr>
            <w:rStyle w:val="Link"/>
          </w:rPr>
          <w:t xml:space="preserve">来源：中国日报</w:t>
        </w:r>
      </w:hyperlink>
    </w:p>
    <w:p>
      <w:pPr>
        <w:pStyle w:val="Heading3"/>
      </w:pPr>
      <w:bookmarkStart w:id="31" w:name="险资投资不动产私募股权拉闸"/>
      <w:bookmarkEnd w:id="31"/>
      <w:r>
        <w:t xml:space="preserve">险资投资不动产私募股权拉闸</w:t>
      </w:r>
    </w:p>
    <w:p>
      <w:r>
        <w:t xml:space="preserve">我国首部私募股权投资办法和保险行业首部完整不动产投资办法出炉。这意味着保险资金可以名正言顺投资房地产和私募股权了。</w:t>
      </w:r>
    </w:p>
    <w:p>
      <w:r>
        <w:t xml:space="preserve">昨日，保监会发布了《保险资金投资股权暂行办法》和《保险资金投资不动产暂行办法》。这是继8月份《保险资金运用暂行管理办法》出台后，第二批出台的相关操作细则。这两部办法充分吸收了国际成熟经验，并借鉴了国内有关方面的系统思考。</w:t>
      </w:r>
    </w:p>
    <w:p>
      <w:r>
        <w:t xml:space="preserve">按照规定，保险机构投资未上市企业股权的账面余额，不高于本公司上季末总资产的5%；投资股权投资基金等未上市企业股权相关金融产品的账面余额，不高于本公司上季末总资产的4%，两项合计不高于本公司上季末总资产的5%。</w:t>
      </w:r>
    </w:p>
    <w:p>
      <w:r>
        <w:t xml:space="preserve">保险公司投资不动产（不含自用性不动产）的账面余额，不高于本公司上季度末总资产的10%，投资不动产相关金融产品的账面余额，不高于本公司上季度末总资产的3%；投资不动产及不动产相关金融产品的账面余额，合计不高于本公司上季度末总资产的10%。</w:t>
      </w:r>
    </w:p>
    <w:p>
      <w:r>
        <w:t xml:space="preserve">按照二季末45235亿总资产计，三季度可以有超过4500亿元和2200 亿的资金进入不动产和PE 市场，将缓解当前2万亿的保险投资压力。</w:t>
      </w:r>
    </w:p>
    <w:p>
      <w:r>
        <w:t xml:space="preserve">当然，险资投资不动产和私募股权有较高的门槛，一是偿付能力不低于150%和上一年度盈利。二是，投资私募股权时，净资产不低于10亿；投资不动产时净资产不低于1亿。</w:t>
      </w:r>
    </w:p>
    <w:p>
      <w:r>
        <w:t xml:space="preserve">但无论直接投资还是间接投资，保监会都明文规定险资不可变身地产开发商。</w:t>
      </w:r>
    </w:p>
    <w:p>
      <w:r>
        <w:t xml:space="preserve">办法明确，险资不可以投资开发或者销售商业住宅和直接从事房地产开发建设（包括一级土地开发）。保监会禁止险资设立房地产开发公司，或者投资未上市房地产企业股权（项目公司除外），或者以投资股票方式控股房地产企业。已投资设立或者已控股房地产企业的，应当限期撤销或者转让退出。</w:t>
      </w:r>
    </w:p>
    <w:p>
      <w:r>
        <w:t xml:space="preserve">市场分析认为，保监会在放开渠道的同时，借鉴了后金融危机监管经验教训，为了防范风险，将投资全过程纳入监管视野中。而不与民争利服务国家大局成为保险资金投资不动产法规的精髓。</w:t>
      </w:r>
    </w:p>
    <w:p>
      <w:r>
        <w:t xml:space="preserve">保险会有关部门负责人表示，两个办法明确投资主体，界定投资标的。明确保险资金只能投资处于成长期或成熟期的企业股权，不能投资创业风险投资基金，不能投资高污染、高耗能等不符合国家政策和技术含量较低、现金回报较差的企业股权；保险资金投资的不动产，应当是产权合法清晰、管理权属相对集中、能够满足投资回报的不动产，不能投资商业住宅，不能直接参与房地产开发，不能投资设立房地产企业。</w:t>
      </w:r>
    </w:p>
    <w:p>
      <w:hyperlink r:id="rId32">
        <w:r>
          <w:rPr>
            <w:rStyle w:val="Link"/>
          </w:rPr>
          <w:t xml:space="preserve">来源：凤凰网</w:t>
        </w:r>
      </w:hyperlink>
    </w:p>
    <w:p>
      <w:pPr>
        <w:pStyle w:val="Heading3"/>
      </w:pPr>
      <w:bookmarkStart w:id="33" w:name="银监会严格执行宏观调控-遏制房地产投机投资"/>
      <w:bookmarkEnd w:id="33"/>
      <w:r>
        <w:t xml:space="preserve">银监会：严格执行宏观调控 遏制房地产投机投资</w:t>
      </w:r>
    </w:p>
    <w:p>
      <w:r>
        <w:t xml:space="preserve">中国银监会统计部副主任叶燕斐表示，银监会将严格执行国家的宏观调控政策，坚决遏制投机、投资需求，在控制风险的前提下支持保障性住房建设。</w:t>
      </w:r>
    </w:p>
    <w:p>
      <w:r>
        <w:t xml:space="preserve">叶燕斐在中国银行业协会举办的关于房地产市场分析及房地产贷款风险控制的"银行前沿问题大讲堂"上表示，房地产市场和房地产贷款对国民经济、国计民生至关重要，对银行业科学稳健发展至关重要。</w:t>
      </w:r>
    </w:p>
    <w:p>
      <w:r>
        <w:t xml:space="preserve">银监会有关负责人前段时间曾表示，将进一步指导和监督商业银行严格住房消费贷款管理，坚决抑制投机投资住房贷款要求，及时严厉查处各类违法违规行为。</w:t>
      </w:r>
    </w:p>
    <w:p>
      <w:r>
        <w:t xml:space="preserve">叶燕斐表示，银监会在坚决认真做好信息服务，积极进行舆论引导的同时，还正在推动开展房地产贷款压力测试等相关工作。</w:t>
      </w:r>
    </w:p>
    <w:p>
      <w:r>
        <w:t xml:space="preserve">银监会曾表示，压力测试及其情景假设要根据每个商业银行各自资产组合、风险承受能力以及风险偏好等进行设计，房地产贷款压力测试的情景假设不代表房地产信贷政策可能出现变动。</w:t>
      </w:r>
    </w:p>
    <w:p>
      <w:r>
        <w:t xml:space="preserve">中国农业银行战略管理部总经理胡新智在会上表示，银行在进行房地产信贷风险防范时应当注意区域差异，并希望保持政策的稳定性和连贯性，以促进形成健康有序的市场环境。</w:t>
      </w:r>
    </w:p>
    <w:p>
      <w:hyperlink r:id="rId34">
        <w:r>
          <w:rPr>
            <w:rStyle w:val="Link"/>
          </w:rPr>
          <w:t xml:space="preserve">来源：中国网</w:t>
        </w:r>
      </w:hyperlink>
    </w:p>
    <w:p>
      <w:pPr>
        <w:pStyle w:val="Heading2"/>
      </w:pPr>
      <w:bookmarkStart w:id="35" w:name="其他-other"/>
      <w:bookmarkEnd w:id="35"/>
      <w:r>
        <w:t xml:space="preserve">其他 Other</w:t>
      </w:r>
    </w:p>
    <w:p>
      <w:pPr>
        <w:pStyle w:val="Heading3"/>
      </w:pPr>
      <w:bookmarkStart w:id="36" w:name="工信部将建立质量信用黑名单制度"/>
      <w:bookmarkEnd w:id="36"/>
      <w:r>
        <w:t xml:space="preserve">工信部将建立质量信用"黑名单"制度</w:t>
      </w:r>
    </w:p>
    <w:p>
      <w:r>
        <w:t xml:space="preserve">工业和信息化部部长李毅中表示，工信部将加快质量信用信息平台建设，开展质量诚信企业等级划分试点示范工作，建立质量信用"黑名单"制度，从政策、资金、项目等方面，加大对质量诚信良好企业的扶持力度，惩戒和淘汰质量失信企业，为诚信企业营造有利的发展环境。</w:t>
      </w:r>
    </w:p>
    <w:p>
      <w:r>
        <w:t xml:space="preserve">李毅中在北京召开的首届中国工业产品质量信誉论坛上说，工业和信息化部将加快引导企业开展质量信誉建设工作，进一步推进企业的"质量承诺活动"，并在一些关系民生的重点行业先行试点。下一步，将积极配合质检部门，将质量诚信体系纳入社会诚信体系框架。鼓励和推动有条件的地区和行业建立完善区域性、行业性的质量诚信体系。</w:t>
      </w:r>
    </w:p>
    <w:p>
      <w:r>
        <w:t xml:space="preserve">他指出，工业和信息化部将积极引导企业开展"质量承诺活动"，鼓励企业采用先进的科学管理方法，大力开展对标和达标活动，进一步推动质量诚信体系建设，着力推动自主品牌建设，加强产品质量监管和社会监督，努力建立"中国制造"的良好品牌形象。</w:t>
      </w:r>
    </w:p>
    <w:p>
      <w:r>
        <w:t xml:space="preserve">据李毅中介绍，今年以来，工信部在黑龙江省和河南省分别开展了乳制品和肉类加工企业诚信体系建设的试点工作。</w:t>
      </w:r>
    </w:p>
    <w:p>
      <w:r>
        <w:t xml:space="preserve">中国工业产品质量信誉论坛是加强工业产品质量信誉建设的重要活动，也是"全国质量月"的重要内容之一。本次论坛的主题是"铸造质量信誉，弘扬中国制造"。在本届论坛上，正式启动了"中国工业企业全球质量承诺活动"。海尔等15家企业代表首批156家质量信誉承诺企业，现场签署了"全球质量信誉承诺"倡议书。</w:t>
      </w:r>
    </w:p>
    <w:p>
      <w:hyperlink r:id="rId37">
        <w:r>
          <w:rPr>
            <w:rStyle w:val="Link"/>
          </w:rPr>
          <w:t xml:space="preserve">来源：中国经济网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38">
        <w:r>
          <w:rPr>
            <w:rStyle w:val="Link"/>
          </w:rPr>
          <w:t xml:space="preserve">unsubscribe@charltonslaw.com</w:t>
        </w:r>
      </w:hyperlink>
    </w:p>
    <w:p>
      <w:r>
        <w:rPr>
          <w:b/>
        </w:rPr>
        <w:t xml:space="preserve">易周律师行 - 法讯 - 中国 - 第350期 - 2010年09月03日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53f59b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finance.ifeng.com/money/roll/20100906/2590116.shtml" TargetMode="External" /><Relationship Type="http://schemas.openxmlformats.org/officeDocument/2006/relationships/hyperlink" Id="rId27" Target="http://www.caijing.com.cn/2010-09-02/110511598.html" TargetMode="External" /><Relationship Type="http://schemas.openxmlformats.org/officeDocument/2006/relationships/hyperlink" Id="rId37" Target="http://www.ce.cn/cysc/newmain/jdpd/zjxw/201009/02/t20100902_20493888.shtml" TargetMode="External" /><Relationship Type="http://schemas.openxmlformats.org/officeDocument/2006/relationships/hyperlink" Id="rId21" Target="http://www.charltonslaw.com.cn/china-news-alerts-cn-issue-350/" TargetMode="External" /><Relationship Type="http://schemas.openxmlformats.org/officeDocument/2006/relationships/hyperlink" Id="rId30" Target="http://www.chinadaily.com.cn/hqcj/lc/2010-09-02/content_804516.html" TargetMode="External" /><Relationship Type="http://schemas.openxmlformats.org/officeDocument/2006/relationships/hyperlink" Id="rId25" Target="http://www.chinadaily.com.cn/hqcj/zgjj/2010-09-01/content_795959.html" TargetMode="External" /><Relationship Type="http://schemas.openxmlformats.org/officeDocument/2006/relationships/hyperlink" Id="rId34" Target="http://www.gov.cn/jrzg/2010-08/31/content_1692717.htm" TargetMode="External" /><Relationship Type="http://schemas.openxmlformats.org/officeDocument/2006/relationships/hyperlink" Id="rId3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32" Target="http://finance.ifeng.com/money/roll/20100906/2590116.shtml" TargetMode="External" /><Relationship Type="http://schemas.openxmlformats.org/officeDocument/2006/relationships/hyperlink" Id="rId27" Target="http://www.caijing.com.cn/2010-09-02/110511598.html" TargetMode="External" /><Relationship Type="http://schemas.openxmlformats.org/officeDocument/2006/relationships/hyperlink" Id="rId37" Target="http://www.ce.cn/cysc/newmain/jdpd/zjxw/201009/02/t20100902_20493888.shtml" TargetMode="External" /><Relationship Type="http://schemas.openxmlformats.org/officeDocument/2006/relationships/hyperlink" Id="rId21" Target="http://www.charltonslaw.com.cn/china-news-alerts-cn-issue-350/" TargetMode="External" /><Relationship Type="http://schemas.openxmlformats.org/officeDocument/2006/relationships/hyperlink" Id="rId30" Target="http://www.chinadaily.com.cn/hqcj/lc/2010-09-02/content_804516.html" TargetMode="External" /><Relationship Type="http://schemas.openxmlformats.org/officeDocument/2006/relationships/hyperlink" Id="rId25" Target="http://www.chinadaily.com.cn/hqcj/zgjj/2010-09-01/content_795959.html" TargetMode="External" /><Relationship Type="http://schemas.openxmlformats.org/officeDocument/2006/relationships/hyperlink" Id="rId34" Target="http://www.gov.cn/jrzg/2010-08/31/content_1692717.htm" TargetMode="External" /><Relationship Type="http://schemas.openxmlformats.org/officeDocument/2006/relationships/hyperlink" Id="rId3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第350期 - 2010年09月03日</dc:title>
  <dc:creator/>
</cp:coreProperties>
</file>