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第352期</w:t>
      </w:r>
      <w:r>
        <w:t xml:space="preserve"> </w:t>
      </w:r>
      <w:r>
        <w:t xml:space="preserve">-</w:t>
      </w:r>
      <w:r>
        <w:t xml:space="preserve"> </w:t>
      </w:r>
      <w:r>
        <w:t xml:space="preserve">2010年09月17日</w:t>
      </w:r>
    </w:p>
    <w:p>
      <w:hyperlink r:id="rId21">
        <w:r>
          <w:rPr>
            <w:rStyle w:val="Link"/>
          </w:rPr>
          <w:t xml:space="preserve">网络版</w:t>
        </w:r>
      </w:hyperlink>
    </w:p>
    <w:p>
      <w:pPr>
        <w:pStyle w:val="Heading1"/>
      </w:pPr>
      <w:bookmarkStart w:id="22" w:name="法讯中国第352期"/>
      <w:bookmarkEnd w:id="22"/>
      <w:r>
        <w:t xml:space="preserve">法讯中国第352期</w:t>
      </w:r>
    </w:p>
    <w:p>
      <w:pPr>
        <w:pStyle w:val="Heading2"/>
      </w:pPr>
      <w:bookmarkStart w:id="23" w:name="资本市场-capital-market"/>
      <w:bookmarkEnd w:id="23"/>
      <w:r>
        <w:t xml:space="preserve">资本市场 Capital Market</w:t>
      </w:r>
    </w:p>
    <w:p>
      <w:pPr>
        <w:pStyle w:val="Heading3"/>
      </w:pPr>
      <w:bookmarkStart w:id="24" w:name="小qfii或国庆前推出-额度200亿股债二八开"/>
      <w:bookmarkEnd w:id="24"/>
      <w:r>
        <w:t xml:space="preserve">小QFII或国庆前推出 额度200亿股债二八开</w:t>
      </w:r>
    </w:p>
    <w:p>
      <w:r>
        <w:t xml:space="preserve">小QFII管理办法或于今年国庆前出台，预计总体投资额度为200亿元；投资标的方面，允许投资交易所债券占总额度八成，股票占两成；首批合资格小QFII将同时通过证监会两个部门批出，其中基金和券商各获100亿额度。</w:t>
      </w:r>
    </w:p>
    <w:p>
      <w:r>
        <w:t xml:space="preserve">建银国际研究部联席董事兼经济师林樵基昨日在记者会上表示，首批小QFII将于国庆前出台。证监会会同外汇局提交的小QFII方案已于今年7月份上报国务院，目前所有业内征询工作已经完成，国务院可能近期择机宣布具体办法，时间很有可能是在国庆节之前。也有业内人士表示，香港财政司司长曾俊华9月6日赴京拜会 "一行三会" 后曾转述证监会意见，表示 "希望能尽快实行小QFII"，这被部分业内人士理解为小QFII即将成行的信号。</w:t>
      </w:r>
    </w:p>
    <w:p>
      <w:r>
        <w:t xml:space="preserve">小QFII与央行8月16日发布的 [关于境外人民币清算行等三类机构运用人民币投资银行间债券市场试点有关事宜的通知] 并行不悖，小QFII依旧处在只允许投资交易所债券市场的规则框架内，债券投资部分没有突破到银行间债市。</w:t>
      </w:r>
    </w:p>
    <w:p>
      <w:r>
        <w:t xml:space="preserve">但在操作层面，以海通 (香港) 此前推出的人民币债券基金为例，获得小QFII额度的在港中资券商和基金也可通过香港的银行渠道投资于国内银行间债券市场，所以该类基金的投资标的将变相无碍于小QFII制度本身局限。据记者了解，包括易方达和中银国际在内的在港中资机构均向香港证监会报批了类似的债基产品。而银行则更快一步，首宗境外机构参与内地银行间债市交易日前已产生。工银亚洲在上周获得央行批出额度后，已在银行间债市购入一年期央票，收益率为2.09%，涉及金额1亿元。</w:t>
      </w:r>
    </w:p>
    <w:p>
      <w:hyperlink r:id="rId25">
        <w:r>
          <w:rPr>
            <w:rStyle w:val="Link"/>
          </w:rPr>
          <w:t xml:space="preserve">来源：腾讯网</w:t>
        </w:r>
      </w:hyperlink>
    </w:p>
    <w:p>
      <w:pPr>
        <w:pStyle w:val="Heading2"/>
      </w:pPr>
      <w:bookmarkStart w:id="26" w:name="公司corporate"/>
      <w:bookmarkEnd w:id="26"/>
      <w:r>
        <w:t xml:space="preserve">公司Corporate</w:t>
      </w:r>
    </w:p>
    <w:p>
      <w:pPr>
        <w:pStyle w:val="Heading3"/>
      </w:pPr>
      <w:bookmarkStart w:id="27" w:name="外商投资产业指导目录修订版公布在即"/>
      <w:bookmarkEnd w:id="27"/>
      <w:r>
        <w:t xml:space="preserve">外商投资产业指导目录修订版公布在即</w:t>
      </w:r>
    </w:p>
    <w:p>
      <w:pPr>
        <w:pStyle w:val="Heading3"/>
      </w:pPr>
      <w:bookmarkStart w:id="28" w:name="酝酿多时的最新-外商投资产业指导目录-下称目录-修订版不久将公布并向中外投资者投资机构等组织广泛征求意见此次修订将进一步提高政策透明度简化审批程序优化投资环境拟或进一步下放投资审批权"/>
      <w:bookmarkEnd w:id="28"/>
      <w:r>
        <w:t xml:space="preserve">酝酿多时的最新 [外商投资产业指导目录] (下称目录) 修订版不久将公布，并向中外投资者、投资机构等组织广泛征求意见。此次修订将进一步提高政策透明度，简化审批程序，优化投资环境，拟或进一步下放投资审批权。</w:t>
      </w:r>
    </w:p>
    <w:p>
      <w:r>
        <w:t xml:space="preserve">据悉，前不久国家发展改革委、商务部等部门联合召开了外商投资环境座谈会，以征求各方意见。正在修订的目录，将进一步优化外商在中国投资的结构。鼓励类的行业主要包括: 新能源、新材料、生物医药、高端制造业、信息产业等领域。此外，鼓励跨国公司在中国设立研发中心和延伸产业链。</w:t>
      </w:r>
    </w:p>
    <w:p>
      <w:r>
        <w:t xml:space="preserve">商务部外资司司长刘亚军透露，从区域看，目录将鼓励投资流向中西部，促进中西部相对贫困地区的发展，实现投资区域更加平衡。在鼓励资本从沿海地区向中西部转移的同时，促进西部内部开放。"并不简单鼓励从东向西的投资模式，而是向东向西同时开放"。</w:t>
      </w:r>
    </w:p>
    <w:p>
      <w:r>
        <w:t xml:space="preserve">刘亚军解释，由于西部开放时间较晚，开放的力度不如东部大，因此一直以来西部都是中国吸引外资的 "洼地"。新目录将重点支持西部对外开放，对于外资企业投资西部还将在税收、土地等政策上给予倾斜。</w:t>
      </w:r>
    </w:p>
    <w:p>
      <w:r>
        <w:t xml:space="preserve">据了解，随着金融危机的影响逐渐减弱，国际资本流动将从波动回归常态。目前，全球投资在逐步恢复活跃，跨国公司新一代的投资战略正在制定中。如何更多地吸引外资以促进本国经济发展和创造更多就业成为各国投资竞争的主要考量。</w:t>
      </w:r>
    </w:p>
    <w:p>
      <w:r>
        <w:t xml:space="preserve">商务部此前发布的数据显示，从去年8月以来，在全球仍未走出金融危机的时候，中国吸收FDI出现正增长，截至今年7月，已经连续12月实现正增长。2009年全球吸收FDI下降40%，中国仅下降2．6%，基本保持了危机前的水平。</w:t>
      </w:r>
    </w:p>
    <w:p>
      <w:r>
        <w:t xml:space="preserve">刘亚军同时表示，中国投资环境仍有待进一步改进，商务部外资部门愿意对投资环境的批评呈开放的心态，认真研究改革和完善的空间，不断提供投资便利。</w:t>
      </w:r>
    </w:p>
    <w:p>
      <w:hyperlink r:id="rId29">
        <w:r>
          <w:rPr>
            <w:rStyle w:val="Link"/>
          </w:rPr>
          <w:t xml:space="preserve">来源：金融界</w:t>
        </w:r>
      </w:hyperlink>
    </w:p>
    <w:p>
      <w:pPr>
        <w:pStyle w:val="Heading3"/>
      </w:pPr>
      <w:bookmarkStart w:id="30" w:name="今年8月中国并购市场共完成并购案例46起"/>
      <w:bookmarkEnd w:id="30"/>
      <w:r>
        <w:t xml:space="preserve">今年8月中国并购市场共完成并购案例46起</w:t>
      </w:r>
    </w:p>
    <w:p>
      <w:r>
        <w:t xml:space="preserve">南根据清科研究中心统计，2010年8月中国并购市场共完成46起并购交易，环比上升27.8%；其中披露金额的42起并购案例，涉及金额38.03亿美元，环比上升87.3%，平均每起案例资金规模9054万美元。与上月相比，8月份并购交易的数量和金额上都有大幅提升，几笔跨国并购案例的完成显著的提升了8月份的交易规模。</w:t>
      </w:r>
    </w:p>
    <w:p>
      <w:r>
        <w:t xml:space="preserve">8月份共有40起国内并购案例完成，占8月份并购案例总数的87.0%，涉及金额5.52亿美元，占并购总金额的14.5%；跨国并购交易6起，涉资32.50亿美元。具体来看，海外并购有4起案例完成，占8月份并购案例数的8.7%，其中披露金额的3起并购交易涉资高达31.78亿美元，占比83.6%；另外海外并购有2起案例发生，披露金额的1起案例涉及金额0.72亿美元，占8月份并购金额的1.9%。</w:t>
      </w:r>
    </w:p>
    <w:p>
      <w:r>
        <w:t xml:space="preserve">从行业方面来看，8月份并购交易主要分布在房地产、能源及矿产、生物技术/医疗健康和机械制造等十六个一级行业。从并购案例的个数来看，房地产行业交易依然活跃，共完成7起并购案例，占8月份案例总数的15.2%；能源及矿产和生物技术/医疗健康行业排在第二，各有5起并购案例完成，占比10.9%；位列其后的是机械制造行业，有4起并购案例完成，占比8.7%；另外，食品&amp;饮料和互联网行业也各有2起并购案例。</w:t>
      </w:r>
    </w:p>
    <w:p>
      <w:r>
        <w:t xml:space="preserve">从并购金额来看，能源及矿产以16.98亿美元位居首位，占8月份交易金额的44.7%，其次是汽车行业，并购金额15亿美元，占8月份并购交易金额的39.4%。房地产行业排在第三位，并购金额2.10亿美元，占比5.5%。</w:t>
      </w:r>
    </w:p>
    <w:p>
      <w:r>
        <w:t xml:space="preserve">从平均并购金额看，能源及矿产行业依然为最高，披露金额的7起案例，平均并购规模达2.45亿美元，远远高于其他行业；其次是生物技术/医疗健康行业，平均并购金额为0.26亿美元；排在第三位是连锁及零售行业，披露金额的2起并购案子，平均金额0.21亿美元。有6起并购案例发生的房地产行业以平均规模0.15亿美元位居第四。</w:t>
      </w:r>
    </w:p>
    <w:p>
      <w:r>
        <w:t xml:space="preserve">根据清科研究中心的统计，8月份有4起海外并购案例完成，其中披露金额的案例数为3起，涉及资金34.78亿美元，主要分布在汽车、能源及矿产、互联网和机械制造四个行业。</w:t>
      </w:r>
    </w:p>
    <w:p>
      <w:r>
        <w:t xml:space="preserve">中国石油8月23日宣布，子公司中石油国际投资有限公司和澳洲壳牌能源控股有限公司以50:50比例组成的联合体于2010年3月19日与澳大利亚煤层气公司Arrow Energy签署了股权收购协议，以每股现金4.7澳元的价格收购Arrow公司的全部股份，收购对价约为35亿澳元。历时5个月，目前该交易已顺利通过Arrow公司股东大会、中澳两国政府相关部门各项审批程序，8月23日完成交割。成为8月份交易金额最大一笔并购交易。</w:t>
      </w:r>
    </w:p>
    <w:p>
      <w:r>
        <w:t xml:space="preserve">另外一起大规模的交易案例为，吉利控股完成收购沃尔沃轿车公司。今年3月28日，吉利控股与沃尔沃轿车公司签署股权收购协议，同意以18亿美元的价格收购沃尔沃轿车公司。8月2日，浙江吉利控股宣布完成收购福特汽车公司旗下沃尔沃轿车公司的全部股权。吉利控股集团为完成收购沃尔沃轿车公司开出了2亿美元票据并支付了13亿美元现金，收购资金来自吉利控股集团、中资机构以及国际资本市场。此最终交易价格是根据收购协议针对养老金义务和运营资本等因素做出调整的结果。</w:t>
      </w:r>
    </w:p>
    <w:p>
      <w:r>
        <w:t xml:space="preserve">另外8月份有2起外资并购案例完成，主要分布在物流和半导体行业。其中披露金额的一起案例为：8月31日，创锐讯公司宣布完成收购普然通讯公司，交易金额7200万美元。</w:t>
      </w:r>
    </w:p>
    <w:p>
      <w:r>
        <w:t xml:space="preserve">在清科研究范围内，8月份有6起VC/PE支持的并购案例发生，涉及电子及光电设备、互联网、汽车、半导体等行业。</w:t>
      </w:r>
    </w:p>
    <w:p>
      <w:r>
        <w:t xml:space="preserve">8月23日，腾讯公司与康盛创想联合宣布，双方已达成收购协议，康盛创想将成为腾讯的全资子公司。清科数据库资料显示，康盛创想曾先后获得过红杉资本、晨兴创投和谷歌的投资。</w:t>
      </w:r>
    </w:p>
    <w:p>
      <w:r>
        <w:t xml:space="preserve">8月31日，美国创锐讯公司宣布收购总部位于上海的普然通讯公司，普然通讯曾获得过永威投资、橡子园创投以及KLM Capital的投资。普然通讯技术公司 (Opulan Technologies Corp.) 是一家专注于为全球通信原始设备制造商开发及营销 xDSL、FTTx和同轴电缆以太网 (Ethernet over Coax) IP 融合芯片解决方案的无晶圆厂半导体公司。</w:t>
      </w:r>
    </w:p>
    <w:p>
      <w:hyperlink r:id="rId31">
        <w:r>
          <w:rPr>
            <w:rStyle w:val="Link"/>
          </w:rPr>
          <w:t xml:space="preserve">来源：私募排排网</w:t>
        </w:r>
      </w:hyperlink>
    </w:p>
    <w:p>
      <w:pPr>
        <w:pStyle w:val="Heading3"/>
      </w:pPr>
      <w:bookmarkStart w:id="32" w:name="银监会-适时出台银行资本监管框架"/>
      <w:bookmarkEnd w:id="32"/>
      <w:r>
        <w:t xml:space="preserve">银监会: 适时出台银行资本监管框架</w:t>
      </w:r>
    </w:p>
    <w:p>
      <w:r>
        <w:t xml:space="preserve">杨超强调针对有关 "中国监管机构正酝酿基于 [巴塞尔协议Ⅲ] 框架下符合自己国情的新银行业监管规则" 的消息，银监会有关负责人近日表示，国际银行资本监管制度改革对国内银行的短期影响有限，但长期影响值得关注。待年底巴塞尔委员会公布资本监管改革最终方案后，银监会将适时出台我国商业银行资本监管的总体框架和路线图。</w:t>
      </w:r>
    </w:p>
    <w:p>
      <w:r>
        <w:t xml:space="preserve">上述负责人指出，下一阶段，银监会将调整和完善国内银行资本监管制度(包括数量标准、质量标准、时间表、监管手段等)，提升资本监管有效性。</w:t>
      </w:r>
    </w:p>
    <w:p>
      <w:r>
        <w:t xml:space="preserve">近期具体工作包括三方面: 一是 密切跟踪国际资本监管制度进展，在本轮资本监管改革最后阶段发挥积极作用；二是结合国情和中国银行 [3.23 0.00%] 业现状，对巴塞尔委员会提出的各项标准进行认真测算和开展实证研究，为制定国内具体的资本监管制度做好准备工作；三是与国内银行充分讨论和沟通，听取国内银行对银行监管改革的意见，指导国内银行逐步向新标准过度。</w:t>
      </w:r>
    </w:p>
    <w:p>
      <w:r>
        <w:t xml:space="preserve">在资本充足率的法定水平方面， [巴塞尔协议Ⅲ] 相比 [巴塞尔协议Ⅱ] 有较为明显的提高。不过，为防止过快实施更高的资本标准影响全球经济的复苏，巴塞尔委员会明确了过渡期安排，即，自2019年开始正常条件下商业银行的普通股 (含留存收益) 充足率、一级资本充足率和总资本充足率最低应分别达到7%、8.5%和10.5%。</w:t>
      </w:r>
    </w:p>
    <w:p>
      <w:r>
        <w:t xml:space="preserve">对于中国实施新规的时间表，上述负责人表示，待2010年11月召开的二十国集团领导人首尔峰会批准后，巴塞尔委员会将于2010年底前公布资本监管改革的最终文本，之后，中国银监会将适时出台我国商业银行资本监管的总体框架和路线图。</w:t>
      </w:r>
    </w:p>
    <w:p>
      <w:hyperlink r:id="rId33">
        <w:r>
          <w:rPr>
            <w:rStyle w:val="Link"/>
          </w:rPr>
          <w:t xml:space="preserve">来源：凤凰网</w:t>
        </w:r>
      </w:hyperlink>
    </w:p>
    <w:p>
      <w:pPr>
        <w:pStyle w:val="Heading3"/>
      </w:pPr>
      <w:bookmarkStart w:id="34" w:name="类重污染行业上市公司要定期披露环境信息"/>
      <w:bookmarkEnd w:id="34"/>
      <w:r>
        <w:t xml:space="preserve">16类重污染行业上市公司要定期披露环境信息</w:t>
      </w:r>
    </w:p>
    <w:p>
      <w:r>
        <w:t xml:space="preserve">"上市公司环境信息披露" 在打了两年雷之后，终于落下了首场雨。</w:t>
      </w:r>
    </w:p>
    <w:p>
      <w:r>
        <w:t xml:space="preserve">2010年9月14日，环境保护部出台 [上市公司环境信息披露指南] (征求意见稿) (以下简称：[指南])。</w:t>
      </w:r>
    </w:p>
    <w:p>
      <w:r>
        <w:t xml:space="preserve">[指南] 首次明确规定发生突发环境事件时上市公司要发布临时环境报告，上市公司信息披露对象不再局限于有关政府部门报告而扩大到公众。</w:t>
      </w:r>
    </w:p>
    <w:p>
      <w:r>
        <w:t xml:space="preserve">但尴尬的是，作为指导性文件的 [指南] 本身并无法律强制力，其光亮能否照进现实仍是问号。</w:t>
      </w:r>
    </w:p>
    <w:p>
      <w:r>
        <w:t xml:space="preserve">[指南] 第三条中明确规定：上市公司应当准确、及时、完整地向公众披露环境信息。</w:t>
      </w:r>
    </w:p>
    <w:p>
      <w:r>
        <w:t xml:space="preserve">"从要求公司向政府部门报告到向公众披露信息，这是一大跨越。" 公众与环境研究中心主任马军如是评价。</w:t>
      </w:r>
    </w:p>
    <w:p>
      <w:r>
        <w:t xml:space="preserve">环保部有关负责人表示这一规定旨在满足公众的环境知情权，以敦促上市公司积极履行保护环境的社会责任。</w:t>
      </w:r>
    </w:p>
    <w:p>
      <w:r>
        <w:t xml:space="preserve">据证券业人士介绍，[指南] 提出如此规定有利于上市公司加强自身监管，也给公众监督上市公司提供依据。</w:t>
      </w:r>
    </w:p>
    <w:p>
      <w:r>
        <w:t xml:space="preserve">[指南] 同时要求，火电、钢铁、水泥、电解铝等16类重污染行业上市公司应当发布年度环境报告，定期披露污染物排放情况、环境守法、环境管理等方面的环境信息，对于非重污染行业的上市公司则鼓励披露年度环境报告。</w:t>
      </w:r>
    </w:p>
    <w:p>
      <w:r>
        <w:t xml:space="preserve">在披露内容上，[指南] 规定，依法应开展强制性清洁生产审核的企业且已被环保部门公布的上市公司，其年度环境报告应披露主要污染物的名称、排放方式、排放浓度和总量等环境信息。</w:t>
      </w:r>
    </w:p>
    <w:p>
      <w:r>
        <w:t xml:space="preserve">在定期环境报告之外，[指南] 还规定临时环境报告制度，要求发生突发环境事件的上市公司，应当在事件发生1日内发布临时环境报告。</w:t>
      </w:r>
    </w:p>
    <w:p>
      <w:r>
        <w:t xml:space="preserve">"这是我国首次对突发环境事件报告做出明确规定。" 马军指出，我国在突发环境事件报告上存在法律空白，由谁报告，报告什么，报告时间等都没有法律明文规定。此次 [指南] 规定针对性明显，"与今年我国发生多起上市公司在突发环境事件之后故意延迟不报环境信息导致恶劣后果有关。"</w:t>
      </w:r>
    </w:p>
    <w:p>
      <w:r>
        <w:t xml:space="preserve">多位环境法学专家在接受记者采访时指出，此次 [指南] 亮点明显，比如首次规定向公众披露环境信息，明确突发环境事件下的环境报告制度，首次要求下属企业中有国家重点监控企业的应公布一年四次监督性监测情况。</w:t>
      </w:r>
    </w:p>
    <w:p>
      <w:r>
        <w:t xml:space="preserve">专家同时表示，相比立法，执法是一个更大的挑战。一位环保部内部人士坦言，这些亮点在以前的法律并无明文规定，甚至就是立法空白区，此次能将其纳入 [指南] 规定实属不易。"但也仅是在 [指南] 中规定了而已，[指南] 更多是倡导性质，欠缺足够强制力。"</w:t>
      </w:r>
    </w:p>
    <w:p>
      <w:r>
        <w:t xml:space="preserve">中国政法大学法学教授陆敏指出，[指南] 只是指导性文件，那些 "亮点" 规定，企业如不遵守，因为没有明确法律规定其法律责任，执行难以保障。</w:t>
      </w:r>
    </w:p>
    <w:p>
      <w:hyperlink r:id="rId35">
        <w:r>
          <w:rPr>
            <w:rStyle w:val="Link"/>
          </w:rPr>
          <w:t xml:space="preserve">来源：凤凰网</w:t>
        </w:r>
      </w:hyperlink>
    </w:p>
    <w:p>
      <w:pPr>
        <w:pStyle w:val="Heading3"/>
      </w:pPr>
      <w:bookmarkStart w:id="36" w:name="中国8月外商直接投资76亿美元"/>
      <w:bookmarkEnd w:id="36"/>
      <w:r>
        <w:t xml:space="preserve">中国8月外商直接投资76亿美元</w:t>
      </w:r>
    </w:p>
    <w:p>
      <w:r>
        <w:t xml:space="preserve">商务部发言人姚坚在例行发布会上透露，中国8月份外商直接投资76亿美元，较上年同期增长1.38%；当月全国新批设立外商投资企业2262家，同比增长21.16%。</w:t>
      </w:r>
    </w:p>
    <w:p>
      <w:r>
        <w:t xml:space="preserve">2010年1-8月，中国实际使用外资金额659.56亿美元，同比增长18.06%，新批设立外商投资企业16721家，同比增长18.33%。</w:t>
      </w:r>
    </w:p>
    <w:p>
      <w:r>
        <w:t xml:space="preserve">8月份实际使用外资金额同比增幅较7月份29.2%大幅下降，但环比增加5.8亿美元。分析认为，8月份使用外资增幅放缓主要源自基数因素，2009年8月我国实际使用外资金额74.99亿美元，当时出现正增长导致去年8月份的基数较大。</w:t>
      </w:r>
    </w:p>
    <w:p>
      <w:r>
        <w:t xml:space="preserve">姚坚介绍，西部地区外资吸引力持续增强。1-8月，西部地区实际使用外资金额为46.21亿美元，同比增长30.93%，比前7个月增幅加快11.69个百分点，占全国实际使用外资总额的比重为7.01%。</w:t>
      </w:r>
    </w:p>
    <w:p>
      <w:r>
        <w:t xml:space="preserve">服务业吸收外资大幅增长，利用外资结构趋于优化。1-8月，全国服务业实际使用外资金额297.41亿美元，同比增长36.75%，占同期全国总量的45.09%。</w:t>
      </w:r>
    </w:p>
    <w:p>
      <w:hyperlink r:id="rId37">
        <w:r>
          <w:rPr>
            <w:rStyle w:val="Link"/>
          </w:rPr>
          <w:t xml:space="preserve">来源：网易财经</w:t>
        </w:r>
      </w:hyperlink>
    </w:p>
    <w:p>
      <w:pPr>
        <w:pStyle w:val="Heading3"/>
      </w:pPr>
      <w:bookmarkStart w:id="38" w:name="四家台湾银行获批筹建大陆地区分行"/>
      <w:bookmarkEnd w:id="38"/>
      <w:r>
        <w:t xml:space="preserve">四家台湾银行获批筹建大陆地区分行</w:t>
      </w:r>
    </w:p>
    <w:p>
      <w:r>
        <w:t xml:space="preserve">中国银监会网站发布信息，首批四家台湾银行已获中国银监会批准在大陆地区筹建分行。</w:t>
      </w:r>
    </w:p>
    <w:p>
      <w:r>
        <w:t xml:space="preserve">此外，中国银监会已批准中国银行(601988.SH/3988.HK)、交通银行(601328.SH/3328.HK)、招商银行(600036.SH/3968.HK) 赴台湾设立代表处。中国银行和交通银行已向台湾银行业监督管理机构正式递交了设立代表处的申请。</w:t>
      </w:r>
    </w:p>
    <w:p>
      <w:r>
        <w:t xml:space="preserve">此次获批的四家台湾银行，分别是获准筹建上海分行的台湾土地银行和台湾第一商业银行，获准筹建苏州分行的台湾合作金库银行，以及获准筹建昆山分行的台湾彰化银行。</w:t>
      </w:r>
    </w:p>
    <w:p>
      <w:r>
        <w:t xml:space="preserve">台湾合作金库银行是台湾地区总资产排名第二位的银行，台湾土地银行、第一商业银行和彰化银行则分居第四位、第五位和第八位，均为台湾证券交易所上市公司。</w:t>
      </w:r>
    </w:p>
    <w:p>
      <w:r>
        <w:t xml:space="preserve">2010年6月以来，台湾金管会陆续批准上述四家银行，以及国泰世华银行、华南银行等六家银行设立大陆分行。</w:t>
      </w:r>
    </w:p>
    <w:p>
      <w:r>
        <w:t xml:space="preserve">9月8日，在第五届两岸经贸合作与发展论坛上，台湾政策研究基金会财政金融组召集人林建甫接受媒体采访时表示，台资银行业者西进大陆，要特别留意企业金融业务与消费金融业务之间的消长、中小企业的贷放业务和台资企业的融资需求这三个方面。</w:t>
      </w:r>
    </w:p>
    <w:p>
      <w:r>
        <w:t xml:space="preserve">林建甫建议，台资银行登陆初期，应设法与当地银行、外资银行保持合作关系，而非互相竞争，要利用当地银行据点拓展自身的营销通道。</w:t>
      </w:r>
    </w:p>
    <w:p>
      <w:r>
        <w:t xml:space="preserve">台湾媒体报道，各家获准登陆的台湾银行已开始着手考虑未来布局，第一银行、合作金库表示正在对第2家分行进行积极评估，华南银行预计在3年内于中国大陆环渤海、长三角、海西区、珠三角及成渝区等五大区域选定3个区域，完备大中华市场布局。</w:t>
      </w:r>
    </w:p>
    <w:p>
      <w:r>
        <w:t xml:space="preserve">此外，尚未获台金管会批准赴大陆设立分行的台新金、永丰金、兆丰金等银行金融机构也陆续与中国大陆金融机构签订MOU策略联盟，期望能在第二批中跟上脚步。</w:t>
      </w:r>
    </w:p>
    <w:p>
      <w:r>
        <w:t xml:space="preserve">中过银监会表示，此次四家银行获在大陆筹办分行，是两岸签署 [海峡两岸金融合作协议]、[海峡两岸银行业监督管理合作备忘录] 后，两岸银行业交流与合作历程中取得的又一历史性突破，标志着两岸银行业的交流与合作进入一个崭新的阶段。</w:t>
      </w:r>
    </w:p>
    <w:p>
      <w:hyperlink r:id="rId39">
        <w:r>
          <w:rPr>
            <w:rStyle w:val="Link"/>
          </w:rPr>
          <w:t xml:space="preserve">来源：财经网</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0">
        <w:r>
          <w:rPr>
            <w:rStyle w:val="Link"/>
          </w:rPr>
          <w:t xml:space="preserve">unsubscribe@charltonslaw.com</w:t>
        </w:r>
      </w:hyperlink>
    </w:p>
    <w:p>
      <w:r>
        <w:rPr>
          <w:b/>
        </w:rPr>
        <w:t xml:space="preserve">易周律师行 - 法讯 - 中国 - 第352期 - 2010年09月17日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b88dbb6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3" Target="http://finance.ifeng.com/bank/yhyjh/20100920/2638405.shtml" TargetMode="External" /><Relationship Type="http://schemas.openxmlformats.org/officeDocument/2006/relationships/hyperlink" Id="rId35" Target="http://finance.ifeng.com/news/20100915/2620949.shtml" TargetMode="External" /><Relationship Type="http://schemas.openxmlformats.org/officeDocument/2006/relationships/hyperlink" Id="rId29" Target="http://finance.jrj.com.cn/2010/09/1317208160594.shtml" TargetMode="External" /><Relationship Type="http://schemas.openxmlformats.org/officeDocument/2006/relationships/hyperlink" Id="rId25" Target="http://finance.qq.com/a/20100917/001606.htm" TargetMode="External" /><Relationship Type="http://schemas.openxmlformats.org/officeDocument/2006/relationships/hyperlink" Id="rId37" Target="http://money.163.com/10/0915/10/6GK86V0J00254ITK.html" TargetMode="External" /><Relationship Type="http://schemas.openxmlformats.org/officeDocument/2006/relationships/hyperlink" Id="rId39" Target="http://www.caijing.com.cn/2010-09-17/110523523.html" TargetMode="External" /><Relationship Type="http://schemas.openxmlformats.org/officeDocument/2006/relationships/hyperlink" Id="rId21" Target="http://www.charltonslaw.com.cn/china-news-alerts-cn-issue-352/" TargetMode="External" /><Relationship Type="http://schemas.openxmlformats.org/officeDocument/2006/relationships/hyperlink" Id="rId31" Target="http://www.simuwang.com/bencandy.php?fid=3&amp;id=44069" TargetMode="External" /><Relationship Type="http://schemas.openxmlformats.org/officeDocument/2006/relationships/hyperlink" Id="rId40"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33" Target="http://finance.ifeng.com/bank/yhyjh/20100920/2638405.shtml" TargetMode="External" /><Relationship Type="http://schemas.openxmlformats.org/officeDocument/2006/relationships/hyperlink" Id="rId35" Target="http://finance.ifeng.com/news/20100915/2620949.shtml" TargetMode="External" /><Relationship Type="http://schemas.openxmlformats.org/officeDocument/2006/relationships/hyperlink" Id="rId29" Target="http://finance.jrj.com.cn/2010/09/1317208160594.shtml" TargetMode="External" /><Relationship Type="http://schemas.openxmlformats.org/officeDocument/2006/relationships/hyperlink" Id="rId25" Target="http://finance.qq.com/a/20100917/001606.htm" TargetMode="External" /><Relationship Type="http://schemas.openxmlformats.org/officeDocument/2006/relationships/hyperlink" Id="rId37" Target="http://money.163.com/10/0915/10/6GK86V0J00254ITK.html" TargetMode="External" /><Relationship Type="http://schemas.openxmlformats.org/officeDocument/2006/relationships/hyperlink" Id="rId39" Target="http://www.caijing.com.cn/2010-09-17/110523523.html" TargetMode="External" /><Relationship Type="http://schemas.openxmlformats.org/officeDocument/2006/relationships/hyperlink" Id="rId21" Target="http://www.charltonslaw.com.cn/china-news-alerts-cn-issue-352/" TargetMode="External" /><Relationship Type="http://schemas.openxmlformats.org/officeDocument/2006/relationships/hyperlink" Id="rId31" Target="http://www.simuwang.com/bencandy.php?fid=3&amp;id=44069" TargetMode="External" /><Relationship Type="http://schemas.openxmlformats.org/officeDocument/2006/relationships/hyperlink" Id="rId40"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第352期 - 2010年09月17日</dc:title>
  <dc:creator/>
</cp:coreProperties>
</file>