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第354期</w:t>
      </w:r>
      <w:r>
        <w:t xml:space="preserve"> </w:t>
      </w:r>
      <w:r>
        <w:t xml:space="preserve">-</w:t>
      </w:r>
      <w:r>
        <w:t xml:space="preserve"> </w:t>
      </w:r>
      <w:r>
        <w:t xml:space="preserve">2010年11月04日</w:t>
      </w:r>
    </w:p>
    <w:p>
      <w:hyperlink r:id="rId21">
        <w:r>
          <w:rPr>
            <w:rStyle w:val="Link"/>
          </w:rPr>
          <w:t xml:space="preserve">网络版</w:t>
        </w:r>
      </w:hyperlink>
    </w:p>
    <w:p>
      <w:pPr>
        <w:pStyle w:val="Heading1"/>
      </w:pPr>
      <w:bookmarkStart w:id="22" w:name="法讯中国第354期"/>
      <w:bookmarkEnd w:id="22"/>
      <w:r>
        <w:t xml:space="preserve">法讯中国第354期</w:t>
      </w:r>
    </w:p>
    <w:p>
      <w:pPr>
        <w:pStyle w:val="Heading2"/>
      </w:pPr>
      <w:bookmarkStart w:id="23" w:name="税收tax"/>
      <w:bookmarkEnd w:id="23"/>
      <w:r>
        <w:t xml:space="preserve">税收TAX</w:t>
      </w:r>
    </w:p>
    <w:p>
      <w:pPr>
        <w:pStyle w:val="Heading3"/>
      </w:pPr>
      <w:bookmarkStart w:id="24" w:name="煤炭纳入资源税改革-税率3-5"/>
      <w:bookmarkEnd w:id="24"/>
      <w:r>
        <w:t xml:space="preserve">煤炭纳入资源税改革 税率3%-5%</w:t>
      </w:r>
    </w:p>
    <w:p>
      <w:r>
        <w:t xml:space="preserve">将煤炭纳入从价计征范畴、提高税负水平是必然趋势</w:t>
      </w:r>
    </w:p>
    <w:p>
      <w:r>
        <w:t xml:space="preserve">煤炭可能纳入资源税改革视野，煤炭税目税率可能定在3%-5%之间，西山煤电、神华集团等大型煤企已在为资源税改革做积极准备。</w:t>
      </w:r>
    </w:p>
    <w:p>
      <w:r>
        <w:t xml:space="preserve">据新华社 [经济参考报] 援引分析称，将煤炭纳入从价计征范畴、提高税负水平是必然趋势，目前改革在更大范围内铺开的条件已基本具备。</w:t>
      </w:r>
    </w:p>
    <w:p>
      <w:r>
        <w:t xml:space="preserve">报道称，西山煤电集团、神华集团等企业已在备战资源税改革，并按照3%-5%的税率做积极准备。"我们甚至都已经做好了年内出台改革举措的准备。"</w:t>
      </w:r>
    </w:p>
    <w:p>
      <w:r>
        <w:t xml:space="preserve">还援引北京财税研究院副院长陈艳的分析称，将煤炭乃至更多税目纳入从价计征范畴、相应提高税负水平是资源税改革的必然趋势，“并不存在技术层面的障碍，不排除今年年底出台的可能，现在我们只等有关部门正式发布了。"</w:t>
      </w:r>
    </w:p>
    <w:p>
      <w:r>
        <w:t xml:space="preserve">今年6月1日，延宕三年的资源税改革在新疆率先进行，原油、天然气资源税由从量计征改为从价计征。7月上旬，西部大开发工作会议指出，深入推进西部大开发，要认真贯彻落实好中央制定的各项政策措施，对煤炭、原油、天然气等资源税由从量征收改为从价征收。</w:t>
      </w:r>
    </w:p>
    <w:p>
      <w:r>
        <w:t xml:space="preserve">10月27日发布的 [中共中央关于制定国民经济和社会发展第十二个五年规划的建议] 则再度明确，继续推进费改税，全面改革资源税；深化资源性产品价格和要素市场改革，理顺煤、电、油、气、水、矿产等资源类产品价格关系，完善重要商品、服务、要素价格形成机制。</w:t>
      </w:r>
    </w:p>
    <w:p>
      <w:hyperlink r:id="rId25">
        <w:r>
          <w:rPr>
            <w:rStyle w:val="Link"/>
          </w:rPr>
          <w:t xml:space="preserve">来源: 财新网</w:t>
        </w:r>
      </w:hyperlink>
    </w:p>
    <w:p>
      <w:pPr>
        <w:pStyle w:val="Heading2"/>
      </w:pPr>
      <w:bookmarkStart w:id="26" w:name="证券-securities"/>
      <w:bookmarkEnd w:id="26"/>
      <w:r>
        <w:t xml:space="preserve">证券 Securities</w:t>
      </w:r>
    </w:p>
    <w:p>
      <w:pPr>
        <w:pStyle w:val="Heading3"/>
      </w:pPr>
      <w:bookmarkStart w:id="27" w:name="两家台湾地区金融机构获批qfii资格"/>
      <w:bookmarkEnd w:id="27"/>
      <w:r>
        <w:t xml:space="preserve">两家台湾地区金融机构获批QFII资格</w:t>
      </w:r>
    </w:p>
    <w:p>
      <w:r>
        <w:t xml:space="preserve">中国证监会表示，证监会日前按照相关法规及 [海峡两岸经济合作框架协议] 的有关承诺，批准了两家台湾地区金融机构的合格境外机构投资者(QFII)资格，标志着两岸证券业合作取得了实质进展。</w:t>
      </w:r>
    </w:p>
    <w:p>
      <w:r>
        <w:t xml:space="preserve">证监会有关负责人表示，将秉持循序渐进、双向互利的原则，进一步加强两岸证券期货业合作，有序推动两岸证券期货业经营机构和资金的相互准入，促进两岸资本市场互利合作和共同发展。</w:t>
      </w:r>
    </w:p>
    <w:p>
      <w:hyperlink r:id="rId28">
        <w:r>
          <w:rPr>
            <w:rStyle w:val="Link"/>
          </w:rPr>
          <w:t xml:space="preserve">来源: 第一财经</w:t>
        </w:r>
      </w:hyperlink>
    </w:p>
    <w:p>
      <w:pPr>
        <w:pStyle w:val="Heading2"/>
      </w:pPr>
      <w:bookmarkStart w:id="29" w:name="投资-investment"/>
      <w:bookmarkEnd w:id="29"/>
      <w:r>
        <w:t xml:space="preserve">投资 Investment</w:t>
      </w:r>
    </w:p>
    <w:p>
      <w:pPr>
        <w:pStyle w:val="Heading3"/>
      </w:pPr>
      <w:bookmarkStart w:id="30" w:name="我国前三季度非金融类对外直接投资增10.4"/>
      <w:bookmarkEnd w:id="30"/>
      <w:r>
        <w:t xml:space="preserve">我国前三季度非金融类对外直接投资增10.4%</w:t>
      </w:r>
    </w:p>
    <w:p>
      <w:r>
        <w:t xml:space="preserve">首国家发改委副主任张晓强2日在第二届中国对外投资合作洽谈会上表示，今年前三个季度，中国境内投资者对全球１１８个国家和地区的２２４６个境外企业进行了投资，累计实现非金融类对外直接投资３６３亿美元，同比增长１０．４％。</w:t>
      </w:r>
    </w:p>
    <w:p>
      <w:r>
        <w:t xml:space="preserve">张晓强说，2009年在全球跨国投资大幅下跌约４０％的情况下，中国非金融类对外直接投资同比增长14.2%，达478亿美元。</w:t>
      </w:r>
    </w:p>
    <w:p>
      <w:r>
        <w:t xml:space="preserve">截至２００９年底，１２０００家中国境内投资者已在境外设立１３０００家企业，遍布全球１７０多个国家和地区。对外投资的存量约２４６０亿美元，居全球第１５位，发展中国家第３位。</w:t>
      </w:r>
    </w:p>
    <w:p>
      <w:r>
        <w:t xml:space="preserve">张晓强说，中国企业境外投资领域已覆盖经济大部分行业。其中采矿业、商业服务、金融业、批发零售、运输仓储和制造业合计占境外投资存量的９０％以上。</w:t>
      </w:r>
    </w:p>
    <w:p>
      <w:r>
        <w:t xml:space="preserve">中国民营企业的境外投资增势强劲。对外投资企业中，中央企业继续保持主导地位，同时２００９年民营企业的境外投资已占境外投资限额总数的四分之一以上。</w:t>
      </w:r>
    </w:p>
    <w:p>
      <w:hyperlink r:id="rId31">
        <w:r>
          <w:rPr>
            <w:rStyle w:val="Link"/>
          </w:rPr>
          <w:t xml:space="preserve">来源: 人民网</w:t>
        </w:r>
      </w:hyperlink>
    </w:p>
    <w:p>
      <w:pPr>
        <w:pStyle w:val="Heading3"/>
      </w:pPr>
      <w:bookmarkStart w:id="32" w:name="家变10家-河北将掀钢铁重组风暴"/>
      <w:bookmarkEnd w:id="32"/>
      <w:r>
        <w:t xml:space="preserve">88家变10家 河北将掀钢铁重组风暴</w:t>
      </w:r>
    </w:p>
    <w:p>
      <w:r>
        <w:t xml:space="preserve">钢铁第一大省河北省正在掀起一场钢铁业兼并重组的风暴。</w:t>
      </w:r>
    </w:p>
    <w:p>
      <w:r>
        <w:t xml:space="preserve">根据河北省政府近期公布的 [河北省人民政府关于控制钢铁产能推进节能减排加快钢铁工业结构调整的实施意见]（下称 [意见]），河北省将培育3至5家具有较强实力和明显竞争优势的大型钢铁企业集团，到 "十二五"末，全省有冶炼能力的钢铁企业（集团）减少到10家左右。</w:t>
      </w:r>
    </w:p>
    <w:p>
      <w:r>
        <w:t xml:space="preserve">"目前河北省有冶炼能力的企业大概在88家，产钢100万吨规模以上的企业是41家。原则上，这些企业都要展开重组。" 参与此次重组方案制定的河北冶金行业协会副会长宋继军昨天接受 [第一财经日报] 采访时透露。</w:t>
      </w:r>
    </w:p>
    <w:p>
      <w:r>
        <w:t xml:space="preserve">3～5家重点企业雏形初现</w:t>
      </w:r>
    </w:p>
    <w:p>
      <w:r>
        <w:t xml:space="preserve">据宋继军介绍，已经初步拟定了几家候选企业作为兼并重组的主体，包括河北省钢铁集团、唐山渤海钢铁集团、唐山长城钢铁集团、河北新武安钢铁集团、河北津西钢铁股份有限公司、河北纵横钢铁集团有限公司等。</w:t>
      </w:r>
    </w:p>
    <w:p>
      <w:r>
        <w:t xml:space="preserve">河北钢铁集团是由唐钢、邯钢、承钢三家公司合并后组建的河北省最大的国有钢铁企业。唐山渤海钢铁集团是由12家民营钢铁企业参与整合组建而成。唐山长城钢铁集团是由27家民营矿山、钢铁、焦化、物流企业组建而成。河北津西钢铁股份有限公司是中国东方集团(00581.HK)的核心资产，而中国东方集团被全球最大的钢铁企业安塞乐米塔尔公司参股。河北纵横钢铁集团有限公司也具有外资成分，是一家中外合资企业。据本报了解，截至目前，在这几家企业中，唐山渤海钢铁集团和唐山长城钢铁集团重组近两年来，一直都是整而不合，在采购、销售等环节，集团内部成员企业一直都是独立开展。</w:t>
      </w:r>
    </w:p>
    <w:p>
      <w:r>
        <w:t xml:space="preserve">"重点支持这些企业取得实质性进展，以这几个企业为主体，在省内区域开展兼并重组。在这些规模较大的企业中，就看谁能发展起来，看谁的重组能取得实质性进展，就重点支持谁。" 宋继军说。</w:t>
      </w:r>
    </w:p>
    <w:p>
      <w:r>
        <w:t xml:space="preserve">[意见] 强调，河北省内有关设区市政府要于2010年11月底前将本地2010至2011年钢铁企业兼并重组方案报送河北省工业和信息化厅。 或许是看到去年山西省掀起的煤炭兼并重组风暴带来的压力，河北省政府表示，鼓励支持上下游产业链重组，创造重组整合新优势、新途径、新模式，推动全省钢铁工业结构调整迈上一个新台阶。</w:t>
      </w:r>
    </w:p>
    <w:p>
      <w:r>
        <w:t xml:space="preserve">曾希望将公司卖给俄罗斯一家企业的河北省德龙钢铁有限公司高层告诉本报，并非不想与国有企业进行联合重组，只是国有企业出价太低。在这项交易因监管层没有通过最终失败后，德龙钢铁一直在寻找新的重组模式。</w:t>
      </w:r>
    </w:p>
    <w:p>
      <w:r>
        <w:t xml:space="preserve">整合迫在眉睫</w:t>
      </w:r>
    </w:p>
    <w:p>
      <w:r>
        <w:t xml:space="preserve">对于重组方式，宋继军表示，目前河北钢铁集团整合民营钢铁企业主要采取 "委托经营管理" 的模式进行整合，民营企业与民营企业之间则可能有一些采取参股、控股、并购的方式进行重组。</w:t>
      </w:r>
    </w:p>
    <w:p>
      <w:r>
        <w:t xml:space="preserve">"委托管理是一种新型的整合模式，意大利、巴西等国家有许多类似的例子，包括韩国浦项钢铁也在采取这种整合模式。" 宋继军说。</w:t>
      </w:r>
    </w:p>
    <w:p>
      <w:r>
        <w:t xml:space="preserve">目前，民营企业河北永洋钢铁有限公司就计划与河北钢铁集团采取 "委托经营管理" 方式进行重组。</w:t>
      </w:r>
    </w:p>
    <w:p>
      <w:r>
        <w:t xml:space="preserve">对于此次整合掀起的重组风暴的目的，宋继军表示："钢铁行业不重组就没有控制力，也就没法发展，环保也不好做。"</w:t>
      </w:r>
    </w:p>
    <w:p>
      <w:r>
        <w:t xml:space="preserve">过往多年，由于国内钢铁行业集中度非常低，产量又节节攀升，钢铁企业一直被上游三大矿山公司 "卡脖子"，铁矿石价格连年高涨，严重制约了钢铁行业的发展，整个钢铁业经营形势非常低迷。</w:t>
      </w:r>
    </w:p>
    <w:p>
      <w:r>
        <w:t xml:space="preserve">除了企业生存受到威胁外，钢铁行业的节能减排成绩也非常糟糕。为了完成节能减排任务，从今年9月份开始，河北省对省内钢铁行业展开了轰轰烈烈的限电限产政策。 2009年，河北省粗钢产量高达1.35亿吨，约占全国24%。虽然过去几年国内钢铁企业已经进行了多起重组，但是河北省多达80余家钢铁企业如果不展开整合，国内企业试图通过集中度来提高与三大矿山公司的话语权，几乎不太可能。</w:t>
      </w:r>
    </w:p>
    <w:p>
      <w:r>
        <w:t xml:space="preserve">正是看到这一形势，河北省政府此次下足决心，希望省内生产规模排名前5位的钢铁企业（集团）钢产量占全省产量的比例，由2009年的48%提高到2015年的75%以上。 为表示决心，河北省采取了“铁腕”政策。[意见] 中强调："对具备重组条件不积极参与重组的钢铁企业，不允许其落后产能就地改造，并采取收缩信贷、限制供电等措施，促其退出钢铁行业，确保钢铁产业重组顺利进行。"</w:t>
      </w:r>
    </w:p>
    <w:p>
      <w:hyperlink r:id="rId33">
        <w:r>
          <w:rPr>
            <w:rStyle w:val="Link"/>
          </w:rPr>
          <w:t xml:space="preserve">来源: 第一财经</w:t>
        </w:r>
      </w:hyperlink>
    </w:p>
    <w:p>
      <w:pPr>
        <w:pStyle w:val="Heading3"/>
      </w:pPr>
      <w:bookmarkStart w:id="34" w:name="重庆发展内陆外向型经济的重要平台"/>
      <w:bookmarkEnd w:id="34"/>
      <w:r>
        <w:t xml:space="preserve">重庆发展内陆外向型经济的重要平台</w:t>
      </w:r>
    </w:p>
    <w:p>
      <w:r>
        <w:t xml:space="preserve">11月2日，内陆地区外向型经济的关键性平台———西永综合保税区的一期工程，通过国家综合验收。这意味着，重庆将正式成为继上海、天津和苏州之后，中国第四个同时建有保税港区和综合保税区的城市。标志着我市成为国内最开放的前沿地区，这对于加快内陆外向型经济发展，具有极其重要的意义。</w:t>
      </w:r>
    </w:p>
    <w:p>
      <w:r>
        <w:t xml:space="preserve">保税区是我国目前开放度和自由度最大的经济区域。西永综合保税区通过政府规划建设开发区，再由开发区进行 "点对点" 的项目引进，改变了"自上而下"的模式。因而西永综合保税区的设立，为西部地区如何承接产业转移树立了一个直观的样本。</w:t>
      </w:r>
    </w:p>
    <w:p>
      <w:r>
        <w:t xml:space="preserve">产业转移既有产业分工、市场规律的内在驱动，也是当前我国区域协调发展的外在要求。西永综合保税区、两路寸滩保税港区为重庆市更好地承接产业转移提供了重要的操作平台，成为我市加快外向型经济发展的重要抓手和着力点。有了这一平台，重庆的开放环境完全可以比肩沿海地区，让内地发展加工贸易成为现实。目前除了世界级大企业落户，上百个零部件企业也聚集重庆，成为重庆新崛起的支柱产业，今后肯定会吸引更多的国际大公司前来投资。</w:t>
      </w:r>
    </w:p>
    <w:p>
      <w:r>
        <w:t xml:space="preserve">西永综合保税区的设立，更为老工业基地如何转变发展方式，推动产业结构优化探索了一条有效的途径。</w:t>
      </w:r>
    </w:p>
    <w:p>
      <w:r>
        <w:t xml:space="preserve">作为我国重要的汽车、摩托车等产业生产基地，我市的产业尚不够丰富，解决城乡统筹发展的劳动力就业渠道还不宽敞，通过大力发展外向型经济，转变发展方式、促进产业结构优化，必将带来我市城乡统筹协调发展的新局面。正是因为国务院先后批准重庆设立两路寸滩保税港区和西永综合保税区，重庆的电子产业才有了重大发展。我市通过创新加工贸易模式，实现整机和80%零部件本地化，生产成本比沿海还低；随着重庆交通条件的改善，重庆造产品的出项物流成本还会大大降低，从而进一步增强重庆造在国内外市场的竞争力。</w:t>
      </w:r>
    </w:p>
    <w:p>
      <w:r>
        <w:t xml:space="preserve">西永综合保税区的设立，完全符合新设海关特殊监管区域的原则，为今后海关特殊监管区域的科学发展起到了榜样的作用。当前，在国家有关部门的共同努力下，海关特殊监管区域正在建立包括 "准入、验收、评估、退出" 等主要内容的管理体系。这一点在西永综合保税区的设立中体现得十分充分。由于西永综合保税区已先期进行运作，保证了西永综合保税区和世界各关口的联网，取得了运作的经验。对招商引资也是一针强心剂———能进一步增强落户企业加快开工、扩大订单投产。因此，西永综合保税区的正式封关具有不同一般的意义。</w:t>
      </w:r>
    </w:p>
    <w:p>
      <w:r>
        <w:t xml:space="preserve">西永综合保税区一期工程通过国家综合验收，不仅对于加快重庆外向型经济发展具有重要意义，更为重要的是使重庆站在了新的发展台阶上，从而为实现“五个重庆”的奋斗目标，奠定更为坚实的基础。</w:t>
      </w:r>
    </w:p>
    <w:p>
      <w:hyperlink r:id="rId35">
        <w:r>
          <w:rPr>
            <w:rStyle w:val="Link"/>
          </w:rPr>
          <w:t xml:space="preserve">来源: 重庆日报</w:t>
        </w:r>
      </w:hyperlink>
    </w:p>
    <w:p>
      <w:pPr>
        <w:pStyle w:val="Heading2"/>
      </w:pPr>
      <w:bookmarkStart w:id="36" w:name="房产-real-estate"/>
      <w:bookmarkEnd w:id="36"/>
      <w:r>
        <w:t xml:space="preserve">房产 Real Estate</w:t>
      </w:r>
    </w:p>
    <w:p>
      <w:pPr>
        <w:pStyle w:val="Heading3"/>
      </w:pPr>
      <w:bookmarkStart w:id="37" w:name="月1日起房贷7折优惠利率全面取消-调至8.5折"/>
      <w:bookmarkEnd w:id="37"/>
      <w:r>
        <w:t xml:space="preserve">11月1日起房贷7折优惠利率全面取消 调至8.5折</w:t>
      </w:r>
    </w:p>
    <w:p>
      <w:r>
        <w:t xml:space="preserve">银行接到通知取消房贷7折利率优惠的消息。中国证券报记者了解到，目前有多家银行总行已经向分支行下发通知，要求在11月1日起，全面取消房贷7折利率，银行给予房贷客户的利率优惠下限调整为同档期基准利率的85%。</w:t>
      </w:r>
    </w:p>
    <w:p>
      <w:r>
        <w:t xml:space="preserve">相关专家表示，实行7折优惠利率是在2008年楼市低迷的时期政府采取的刺激房产购买的临时性措施，而当前的经济环境是充足的流动性吹大了房地产泡沫。"一旦房价下跌，银行要承担很大的风险，所以银行有必要通过提高利率优惠门槛来收紧房地产贷款。"有业内人士认为，由于存量房贷并不在调整之列，以及此前部分银行已经先期提高了房贷利率的执行标准，所以这一变动所波及的范围并不大。</w:t>
      </w:r>
    </w:p>
    <w:p>
      <w:r>
        <w:t xml:space="preserve">多家银行证实，11月1日起，商业银行购买首套住房执行的房贷最低标准变为：首付最低30%，利率为同档期基准利率下浮15%；二套住房为首付最低50%，利率执行同档期基准利率的1.1倍，禁止对第三套及以上住房提供贷款。</w:t>
      </w:r>
    </w:p>
    <w:p>
      <w:r>
        <w:t xml:space="preserve">不过，对于已申请贷款而还未获得审批的购房者，各家银行执行利率标准并不一样。某银行房贷审批部门人士称，在接到新通知后，银行房贷审批部门已经停止了对7折利率申请，现在手中积压的房贷按揭基本按照新利率执行。</w:t>
      </w:r>
    </w:p>
    <w:p>
      <w:r>
        <w:t xml:space="preserve">但也有银行相关负责人表示，新标准只是对11月以后提出贷款申请的客户有效，而已经递交申请的房贷客户仍旧按照老的优惠利率标准执行，"有些客户还是能赶上7折优惠利率的末班车"。</w:t>
      </w:r>
    </w:p>
    <w:p>
      <w:r>
        <w:t xml:space="preserve">对于大家更为关心的存量房贷政策，业内人士表示，监管机构并未对此作出规定，商业银行仍旧按照和客户所订立的合同条款来具体执行。</w:t>
      </w:r>
    </w:p>
    <w:p>
      <w:r>
        <w:t xml:space="preserve">分析人士表示，这一新规和此前下发的首套住房首付比例不低于三成两项政策叠加执行后，购房者需要投入的买房成本将进一步提升。一笔30年期100万住房按揭贷款，执行基准利率为6.14%，利率从7折调整为8.5折后，月供要多交555.31元左右，30年将多交20万元。所以，新的房贷利率标准将对住房需求产生明显的抑制作用，买房人的观望情绪浓厚，房屋成交量将大幅减少。</w:t>
      </w:r>
    </w:p>
    <w:p>
      <w:r>
        <w:t xml:space="preserve">一业内人士说，如果执行房贷7折利率，这样的利差水平根本无法承担包括营销费用、准备金成本、日常经营成本在内的银行资金运营成本，即执行了利率优惠新规，考虑到计提拨备，银行几乎没有多少利润空间。"现在取消7折优惠，商业银行自然乐得执行。"</w:t>
      </w:r>
    </w:p>
    <w:p>
      <w:hyperlink r:id="rId38">
        <w:r>
          <w:rPr>
            <w:rStyle w:val="Link"/>
          </w:rPr>
          <w:t xml:space="preserve">来源: 中国证券报</w:t>
        </w:r>
      </w:hyperlink>
    </w:p>
    <w:p>
      <w:pPr>
        <w:pStyle w:val="Heading3"/>
      </w:pPr>
      <w:bookmarkStart w:id="39" w:name="发改委10月全国31种食品近八成涨价"/>
      <w:bookmarkEnd w:id="39"/>
      <w:r>
        <w:t xml:space="preserve">发改委：10月全国31种食品近八成涨价</w:t>
      </w:r>
    </w:p>
    <w:p>
      <w:r>
        <w:t xml:space="preserve">国家发改委公布了10月份城市食品零售价格监测情况。在监测的31种产品中，近80%价格上涨。</w:t>
      </w:r>
    </w:p>
    <w:p>
      <w:r>
        <w:t xml:space="preserve">本次监测针对北京、上海、重庆等36个大中城市，监测食品包括蔬菜、粮油、鲜肉类及水果共31个产品。统计数据显示，与9月份相比，共24种产品价格呈不同程度上涨，约占统计总品种的80%，其中黄瓜和西瓜涨幅最高，大豆油、大豆调和油、活鸡、茄子及草鱼等价格微弱下跌，大白菜和鲜猪肉价格持平。</w:t>
      </w:r>
    </w:p>
    <w:p>
      <w:r>
        <w:t xml:space="preserve">市农委、市（编者注：重庆市，下同）物价部门的统计数据显示，我市食品零售价格上涨幅度略低于全国平均水平。如胡萝卜，全国零售价为3.36元/公斤，我市零售价为3.10元/公斤；芹菜全国均价为4.70元/公斤，我市为3.80元/公斤。市农委介绍，上月我市本地产蔬菜价格基本平稳。不到七成蔬菜价格微涨，平均涨幅没超过10%，老南瓜、萝卜、土豆等价格下跌，平均跌幅约为6%。</w:t>
      </w:r>
    </w:p>
    <w:p>
      <w:r>
        <w:t xml:space="preserve">另据了解，市农业信息中心近日发布调查报告称，根据30个区县农贸市场8个水产品种的定点调查，3季度水产市场均价每公斤21.58元，环比统计的8个水产品种均价总体上涨7.31%。</w:t>
      </w:r>
    </w:p>
    <w:p>
      <w:r>
        <w:t xml:space="preserve">又讯 记者昨日调查发现，受阿拉比卡咖啡豆价格创13年来新高的影响，自年初以来，咖啡消费终端有不同程度涨价。</w:t>
      </w:r>
    </w:p>
    <w:p>
      <w:r>
        <w:t xml:space="preserve">记者在南岸、渝中、江北一些超市发现，麦斯威尔、雀巢等咖啡，目前大多没有涨价。营业员说，自去年末咖啡涨过一次价后，目前只有一两款略为调价，但涨幅不足10%，大多数品牌暂时没涨，不过正在酝酿涨价。</w:t>
      </w:r>
    </w:p>
    <w:p>
      <w:r>
        <w:t xml:space="preserve">在星巴克、两岸咖啡、上岛咖啡、西元咖啡等咖啡馆发现，记者发现部分咖啡馆零售价格已上调，上调最高的是解放碑一家咖啡馆，从25元一杯调到35元一杯，涨幅达四成。价格没动的也在酝酿涨价，上海百联西元咖啡有关负责人告诉记者，他们从云南进的咖啡，原料已上涨10%，"如果原料再涨，我们也将上调价格。"</w:t>
      </w:r>
    </w:p>
    <w:p>
      <w:hyperlink r:id="rId40">
        <w:r>
          <w:rPr>
            <w:rStyle w:val="Link"/>
          </w:rPr>
          <w:t xml:space="preserve">来源: 重庆晚报</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1">
        <w:r>
          <w:rPr>
            <w:rStyle w:val="Link"/>
          </w:rPr>
          <w:t xml:space="preserve">unsubscribe@charltonslaw.com</w:t>
        </w:r>
      </w:hyperlink>
    </w:p>
    <w:p>
      <w:r>
        <w:rPr>
          <w:b/>
        </w:rPr>
        <w:t xml:space="preserve">易周律师行 - 法讯 - 中国 - 第354期 - 2010年11月04日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7b2f51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business.caing.com/2010-11-01/100194055.html" TargetMode="External" /><Relationship Type="http://schemas.openxmlformats.org/officeDocument/2006/relationships/hyperlink" Id="rId35" Target="http://cpc.people.com.cn/GB/64093/64099/13122034.html" TargetMode="External" /><Relationship Type="http://schemas.openxmlformats.org/officeDocument/2006/relationships/hyperlink" Id="rId28" Target="http://news.cnfol.com/101103/101,1591,8721973,00.shtml" TargetMode="External" /><Relationship Type="http://schemas.openxmlformats.org/officeDocument/2006/relationships/hyperlink" Id="rId40" Target="http://news.sohu.com/20101103/n277029805.shtml" TargetMode="External" /><Relationship Type="http://schemas.openxmlformats.org/officeDocument/2006/relationships/hyperlink" Id="rId31" Target="http://www.022net.com/2010/11-3/423973133254612.html" TargetMode="External" /><Relationship Type="http://schemas.openxmlformats.org/officeDocument/2006/relationships/hyperlink" Id="rId21" Target="http://www.charltonslaw.com.cn/china-news-alerts-cn-issue-354/" TargetMode="External" /><Relationship Type="http://schemas.openxmlformats.org/officeDocument/2006/relationships/hyperlink" Id="rId38" Target="http://www.chinadaily.com.cn/dfpd/2010-11/01/content_11482129.htm" TargetMode="External" /><Relationship Type="http://schemas.openxmlformats.org/officeDocument/2006/relationships/hyperlink" Id="rId33" Target="http://www.yicai.com/news/2010/11/588576.html" TargetMode="External" /><Relationship Type="http://schemas.openxmlformats.org/officeDocument/2006/relationships/hyperlink" Id="rId4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5" Target="http://business.caing.com/2010-11-01/100194055.html" TargetMode="External" /><Relationship Type="http://schemas.openxmlformats.org/officeDocument/2006/relationships/hyperlink" Id="rId35" Target="http://cpc.people.com.cn/GB/64093/64099/13122034.html" TargetMode="External" /><Relationship Type="http://schemas.openxmlformats.org/officeDocument/2006/relationships/hyperlink" Id="rId28" Target="http://news.cnfol.com/101103/101,1591,8721973,00.shtml" TargetMode="External" /><Relationship Type="http://schemas.openxmlformats.org/officeDocument/2006/relationships/hyperlink" Id="rId40" Target="http://news.sohu.com/20101103/n277029805.shtml" TargetMode="External" /><Relationship Type="http://schemas.openxmlformats.org/officeDocument/2006/relationships/hyperlink" Id="rId31" Target="http://www.022net.com/2010/11-3/423973133254612.html" TargetMode="External" /><Relationship Type="http://schemas.openxmlformats.org/officeDocument/2006/relationships/hyperlink" Id="rId21" Target="http://www.charltonslaw.com.cn/china-news-alerts-cn-issue-354/" TargetMode="External" /><Relationship Type="http://schemas.openxmlformats.org/officeDocument/2006/relationships/hyperlink" Id="rId38" Target="http://www.chinadaily.com.cn/dfpd/2010-11/01/content_11482129.htm" TargetMode="External" /><Relationship Type="http://schemas.openxmlformats.org/officeDocument/2006/relationships/hyperlink" Id="rId33" Target="http://www.yicai.com/news/2010/11/588576.html" TargetMode="External" /><Relationship Type="http://schemas.openxmlformats.org/officeDocument/2006/relationships/hyperlink" Id="rId4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第354期 - 2010年11月04日</dc:title>
  <dc:creator/>
</cp:coreProperties>
</file>