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第355期</w:t>
      </w:r>
      <w:r>
        <w:t xml:space="preserve"> </w:t>
      </w:r>
      <w:r>
        <w:t xml:space="preserve">-</w:t>
      </w:r>
      <w:r>
        <w:t xml:space="preserve"> </w:t>
      </w:r>
      <w:r>
        <w:t xml:space="preserve">2010年11月12日</w:t>
      </w:r>
    </w:p>
    <w:p>
      <w:hyperlink r:id="rId21">
        <w:r>
          <w:rPr>
            <w:rStyle w:val="Link"/>
          </w:rPr>
          <w:t xml:space="preserve">网络版</w:t>
        </w:r>
      </w:hyperlink>
    </w:p>
    <w:p>
      <w:pPr>
        <w:pStyle w:val="Heading1"/>
      </w:pPr>
      <w:bookmarkStart w:id="22" w:name="法讯中国第355期"/>
      <w:bookmarkEnd w:id="22"/>
      <w:r>
        <w:t xml:space="preserve">法讯中国第355期</w:t>
      </w:r>
    </w:p>
    <w:p>
      <w:pPr>
        <w:pStyle w:val="Heading2"/>
      </w:pPr>
      <w:bookmarkStart w:id="23" w:name="知识产权-ip"/>
      <w:bookmarkEnd w:id="23"/>
      <w:r>
        <w:t xml:space="preserve">知识产权 IP</w:t>
      </w:r>
    </w:p>
    <w:p>
      <w:pPr>
        <w:pStyle w:val="Heading3"/>
      </w:pPr>
      <w:bookmarkStart w:id="24" w:name="陈德铭中国政府有能力全面提升知识产权保护水平"/>
      <w:bookmarkEnd w:id="24"/>
      <w:r>
        <w:t xml:space="preserve">陈德铭：中国政府有能力全面提升知识产权保护水平</w:t>
      </w:r>
    </w:p>
    <w:p>
      <w:r>
        <w:t xml:space="preserve">陈德铭：中国政府有决心、有信心、有能力全面提升知识产权保护水平</w:t>
      </w:r>
    </w:p>
    <w:p>
      <w:r>
        <w:t xml:space="preserve">商务部部长陈德铭表示，中国知识产权制度的建立和完善取得了有目共睹的成绩，但是由于起步较晚，目前还存在一些不足，中国政府有决心、有信心、有能力全面提升知识产权保护水平。</w:t>
      </w:r>
    </w:p>
    <w:p>
      <w:r>
        <w:t xml:space="preserve">他是在出席此间举行的美国大使知识产权对话午餐会，与业界共同交流中美经贸关系和知识产权问题时作出上述表示的。</w:t>
      </w:r>
    </w:p>
    <w:p>
      <w:r>
        <w:t xml:space="preserve">陈德铭说，知识产权一直是中美经贸关系中的重点议题，中美在知识产权保护上有着共同的目标和利益。</w:t>
      </w:r>
    </w:p>
    <w:p>
      <w:r>
        <w:t xml:space="preserve">他介绍说，目前中国已经成为美国技术出口的第三大市场。中国也高度重视技术创新，2009年中国研发投入总量进入世界前五位，研发总支出约占GDP的1．6％，中国正在成为全球研发投入增长最快、创新活力日益增强的国家之一。</w:t>
      </w:r>
    </w:p>
    <w:p>
      <w:r>
        <w:t xml:space="preserve">陈德铭表示，近5年中国连续颁布 [保护知识产权行动计划]，针对10个领域采取了1051项具体措施，先后与美国、欧盟、日本等国家和地区建立了知识产权定期磋商机制，知识产权的国际交流更加频繁，合作日益深入。</w:t>
      </w:r>
    </w:p>
    <w:p>
      <w:r>
        <w:t xml:space="preserve">他说，中国保护知识产权工作的发展，极大地增强了国外投资者的信心。目前中国是世界上吸引外资最多的国家之一，全球500强企业中已有470多家在中国落户，国外在华专利申请达到100万件，跨国公司在华设立的各类研发中心超过1200家，外商投资企业已成为中国研发创新活动的重要组成部分。</w:t>
      </w:r>
    </w:p>
    <w:p>
      <w:r>
        <w:t xml:space="preserve">他表示，中国知识产权制度由于起步较晚，目前还存在一些不足，一些地区和领域侵权盗版、制售假冒产品现象仍比较严重，知识产权执法力度和效能仍需提高。部分美国企业对中国的知识产权保护存有疑虑，中方充分理解企业的疑虑所在，中国政府将全面提升知识产权保护水平，打击侵犯知识产权的不法行为。</w:t>
      </w:r>
    </w:p>
    <w:p>
      <w:r>
        <w:t xml:space="preserve">他强调说，保护知识产权是一个全球性难题，需要各国通力合作。他建议中美两国努力寻求兼顾双方利益的知识产权保护标准平衡点，双方相关部门加强信息共享，不断拓展合作的领域和深度。</w:t>
      </w:r>
    </w:p>
    <w:p>
      <w:hyperlink r:id="rId25">
        <w:r>
          <w:rPr>
            <w:rStyle w:val="Link"/>
          </w:rPr>
          <w:t xml:space="preserve">来源：新华网</w:t>
        </w:r>
      </w:hyperlink>
    </w:p>
    <w:p>
      <w:pPr>
        <w:pStyle w:val="Heading2"/>
      </w:pPr>
      <w:bookmarkStart w:id="26" w:name="司法-jurisdiction"/>
      <w:bookmarkEnd w:id="26"/>
      <w:r>
        <w:t xml:space="preserve">司法 Jurisdiction</w:t>
      </w:r>
    </w:p>
    <w:p>
      <w:pPr>
        <w:pStyle w:val="Heading3"/>
      </w:pPr>
      <w:bookmarkStart w:id="27" w:name="港粤拟就香港律师以公民身份参与诉讼代理等推进合作"/>
      <w:bookmarkEnd w:id="27"/>
      <w:r>
        <w:t xml:space="preserve">港粤拟就香港律师以公民身份参与诉讼代理等推进合作</w:t>
      </w:r>
    </w:p>
    <w:p>
      <w:r>
        <w:t xml:space="preserve">香港特别行政区律政司司长黄仁龙率领代表团到广东省司法厅进行访问，粤港双方就CEPA框架下的法律服务开发措施的落实和 [粤港合作框架协议] 的法律合作建议等事项进行了讨论和交流。</w:t>
      </w:r>
    </w:p>
    <w:p>
      <w:r>
        <w:t xml:space="preserve">在粤港双方的交流中，广东省司法厅厅长陈伟雄向香港特区律政司司长黄仁龙一行介绍了广东司法行政系统落实CEPA和[粤港合作框架协议] 的情况、法律服务的现状和发展等情况，对广东法律服务积极参与保亚运平安和维护社会稳定等具体做法进行了讲解。</w:t>
      </w:r>
    </w:p>
    <w:p>
      <w:r>
        <w:t xml:space="preserve">黄仁龙提出，希望进一步加强两地合作，在CEPA框架下，采取先行先试的做法。针对 "香港律师事务所的驻粤代表处在启用内地律师方面能有新的突破、建立新的协议"、"香港律师在内地参与诉讼代理方面，能否享受香港大律师的做法，让香港的事务律师在粤能以公民的身份参与诉讼代理业务"、"对香港公民参加内地司法考试后在内地的执业情况能及时的进行信息沟通"等问题，粤港双方一致认为可以采取先行先试的做法，按不同的难度和层次不断推进相互合作。</w:t>
      </w:r>
    </w:p>
    <w:p>
      <w:hyperlink r:id="rId28">
        <w:r>
          <w:rPr>
            <w:rStyle w:val="Link"/>
          </w:rPr>
          <w:t xml:space="preserve">来源：北大法宝</w:t>
        </w:r>
      </w:hyperlink>
    </w:p>
    <w:p>
      <w:pPr>
        <w:pStyle w:val="Heading2"/>
      </w:pPr>
      <w:bookmarkStart w:id="29" w:name="证券-securities"/>
      <w:bookmarkEnd w:id="29"/>
      <w:r>
        <w:t xml:space="preserve">证券 Securities</w:t>
      </w:r>
    </w:p>
    <w:p>
      <w:pPr>
        <w:pStyle w:val="Heading3"/>
      </w:pPr>
      <w:bookmarkStart w:id="30" w:name="王建宙中国移动已为回归a股做好准备"/>
      <w:bookmarkEnd w:id="30"/>
      <w:r>
        <w:t xml:space="preserve">王建宙：中国移动已为回归A股做好准备</w:t>
      </w:r>
    </w:p>
    <w:p>
      <w:r>
        <w:t xml:space="preserve">中国移动 (00941.HK) 董事长王建宙表示，公司内部已经为回归Ａ股上市做好了准备。但由于Ａ股国际板推进过程复杂，目前还没有任何消息。</w:t>
      </w:r>
    </w:p>
    <w:p>
      <w:r>
        <w:t xml:space="preserve">王建宙还透露，自从在世博园建设全球首个TD-LTE试验网后，中国移动计划在3-6个城市扩大TD-LTE试验网。</w:t>
      </w:r>
    </w:p>
    <w:p>
      <w:r>
        <w:t xml:space="preserve">提高数据业务收入</w:t>
      </w:r>
    </w:p>
    <w:p>
      <w:r>
        <w:t xml:space="preserve">11月3日召开的国务院常务会议决定，明年起将5个中央部门和2个企业集团所属共1631户企业纳入中央国有资本经营预算实施范围，并适当提高中央企业国有资本收益收取比例。电信行业作为资源型企业，征收比例将由原来的10%上调到15%。</w:t>
      </w:r>
    </w:p>
    <w:p>
      <w:r>
        <w:t xml:space="preserve">王建宙对此表示，母公司中国移动集团已经做好了准备，至于会否增加派息，现时不方便讨论，只表示年初已宣布派息率为43％。</w:t>
      </w:r>
    </w:p>
    <w:p>
      <w:r>
        <w:t xml:space="preserve">中国移动公布的三季报显示，公司前三季度营运收入达到3526.43亿元，同比增长7.8%；EBITDA (税息折旧及摊销前利润）为1778亿元，增长6%；股东应占利润为872.45亿元，同比增长3.9%。</w:t>
      </w:r>
    </w:p>
    <w:p>
      <w:r>
        <w:t xml:space="preserve">工信部公布将于本月22日在天津、海南两地启动携号转网试点，业界预计将会对中国移动的垄断地位构成强烈挑战。王建宙回应称，中国移动会努力把网络覆盖范围以及质量做得更好，希望保持现有客户。</w:t>
      </w:r>
    </w:p>
    <w:p>
      <w:r>
        <w:t xml:space="preserve">截至9月30日，中国移动总用户数达到5.6亿户，其中本年度净增4747万户，3G用户达到1527万户。</w:t>
      </w:r>
    </w:p>
    <w:p>
      <w:r>
        <w:t xml:space="preserve">王建宙还指出，过去只要降价便能够吸引更多用户，通过扩大用户群来增加收入，但最近这一情况已经不再。“现阶段将努力通过新服务，以维持每用户每月收入 (ARPU) 稳定。话音收入方面，虽然可能下跌，但是若要维持ARPU水平，最重要还是数据用量，现时数据用量占业务30％。”</w:t>
      </w:r>
    </w:p>
    <w:p>
      <w:r>
        <w:t xml:space="preserve">王建宙的表态意味着中国移动会更加注重提高数据业务收入，并以此抵御语音收入下滑的趋势。中国移动三季报显示，其平均每月每户使用量 (MOU) 为520分钟，而去年同期也为520分钟。</w:t>
      </w:r>
    </w:p>
    <w:p>
      <w:r>
        <w:t xml:space="preserve">第一创业证券研究员任文杰称，中国移动的MOU已超过500分钟，今后提升的空间已经不大，这一数据近几年增长也十分缓慢，意味着通过资费降低而刺激通话量增加的空间已经有限，未来的增长点应该在于数据业务。</w:t>
      </w:r>
    </w:p>
    <w:p>
      <w:r>
        <w:t xml:space="preserve">中国移动在季报中就表示，增值业务成为拉动收入增长的重要动力，并且增值业务收入结构进一步优化，移动数据业务、无线音乐等重点业务增势良好。</w:t>
      </w:r>
    </w:p>
    <w:p>
      <w:r>
        <w:t xml:space="preserve">TD-LTE试验网将扩大</w:t>
      </w:r>
    </w:p>
    <w:p>
      <w:r>
        <w:t xml:space="preserve">中国移动在世博会期间启动了TD-LTE试验网络服务，业界认为中国移动会通过加快向TD-LTE的过渡来摆脱当前其3G网络优势不突出的局面。</w:t>
      </w:r>
    </w:p>
    <w:p>
      <w:r>
        <w:t xml:space="preserve">王建宙称，TD-LTE发展比预期快，主要因为内地数据业务具爆炸性增长，智能手机普及，导致数据用量愈来愈多。而公司在上海世博会已正式推出全球首个TD-LTE系统，很多外国运营商均表示感兴趣，未来公司会在3至6个城市扩大试网，但仍有待政府相关部门审批。</w:t>
      </w:r>
    </w:p>
    <w:p>
      <w:r>
        <w:t xml:space="preserve">有业界人士透露，中国移动会选择青岛、厦门和珠海三个沿海城市进行TD-LTE网络试验，为尽快向TD-LTE过渡积累经验。</w:t>
      </w:r>
    </w:p>
    <w:p>
      <w:r>
        <w:t xml:space="preserve">对于海外业务，王建宙称暂时仍没有拓展国际业务的新目标，现阶段公司仍会专注做好巴基斯坦市场，该区业务表现良好，收入亦较去年上升，全国已有网络覆盖。</w:t>
      </w:r>
    </w:p>
    <w:p>
      <w:r>
        <w:t xml:space="preserve">对于入股台湾远传电信一事，正在等待有关部门审批。目前，中国移动与台湾成立的子公司纵信公司已经注册完成，正在等待台湾开放电信投资。如果台湾开放投资，便可以利用纵信公司入股远传电信。中移动于去年4月底宣布，斥资近41亿港元收购远信电讯12%的股权，由于台湾电讯业并未对大陆资金开放，导致该交易事隔一年仍未获批。</w:t>
      </w:r>
    </w:p>
    <w:p>
      <w:r>
        <w:t xml:space="preserve">对于中移动没有iPhone出售会否影响营业额，王建宙表示，已经与苹果讨论此事项，并希望苹果的新产品能加入中移动研发的功能，但现时仍未达成任何协议。</w:t>
      </w:r>
    </w:p>
    <w:p>
      <w:hyperlink r:id="rId31">
        <w:r>
          <w:rPr>
            <w:rStyle w:val="Link"/>
          </w:rPr>
          <w:t xml:space="preserve">来源：新华网</w:t>
        </w:r>
      </w:hyperlink>
    </w:p>
    <w:p>
      <w:pPr>
        <w:pStyle w:val="Heading2"/>
      </w:pPr>
      <w:bookmarkStart w:id="32" w:name="投资-investment"/>
      <w:bookmarkEnd w:id="32"/>
      <w:r>
        <w:t xml:space="preserve">投资 Investment</w:t>
      </w:r>
    </w:p>
    <w:p>
      <w:pPr>
        <w:pStyle w:val="Heading3"/>
      </w:pPr>
      <w:bookmarkStart w:id="33" w:name="中投公司宣布在香港成立子公司"/>
      <w:bookmarkEnd w:id="33"/>
      <w:r>
        <w:t xml:space="preserve">中投公司宣布在香港成立子公司</w:t>
      </w:r>
    </w:p>
    <w:p>
      <w:r>
        <w:t xml:space="preserve">中投公司已在香港注册登记、设立了全资子公司——中投国际 (香港) 有限公司，将充分利用香港作为国际金融中心及其所拥有的国际一流投资、金融服务环境拓展境外投资业务。中投公司聘请刘遵义教授担任中投国际 (香港) 有限公司董事长。之前，刘遵义教授曾担任中投公司国际咨询委员会委员。</w:t>
      </w:r>
    </w:p>
    <w:p>
      <w:hyperlink r:id="rId34">
        <w:r>
          <w:rPr>
            <w:rStyle w:val="Link"/>
          </w:rPr>
          <w:t xml:space="preserve">来源：中投网</w:t>
        </w:r>
      </w:hyperlink>
    </w:p>
    <w:p>
      <w:pPr>
        <w:pStyle w:val="Heading3"/>
      </w:pPr>
      <w:bookmarkStart w:id="35" w:name="中投二号国新公司有望年内挂牌"/>
      <w:bookmarkEnd w:id="35"/>
      <w:r>
        <w:t xml:space="preserve">"中投二号"国新公司有望年内挂牌</w:t>
      </w:r>
    </w:p>
    <w:p>
      <w:r>
        <w:t xml:space="preserve">邵宁：下一步改革重点是鼓励国企整体上市</w:t>
      </w:r>
    </w:p>
    <w:p>
      <w:r>
        <w:t xml:space="preserve">被外界称为 "中投二号" 的国新资产管理有限公司有望在年内挂牌，而该公司将在国企重组中扮演重要角色。</w:t>
      </w:r>
    </w:p>
    <w:p>
      <w:r>
        <w:t xml:space="preserve">国资委副主任邵宁近日接受媒体专访时透露，国新公司有望在年内挂牌。他还表示，下一步改革重点是鼓励国企整体上市，最终把大型国企打造成单一上市公司，依照资本市场要求运营。　</w:t>
      </w:r>
    </w:p>
    <w:p>
      <w:r>
        <w:t xml:space="preserve">国新主攻央企结构调整　</w:t>
      </w:r>
    </w:p>
    <w:p>
      <w:r>
        <w:t xml:space="preserve">与之前外界猜测有所不同的是，邵宁表示，国新公司主要是帮助劣势企业退出，而不是把所有大的、好的企业都放进国新公司，国新公司和其他央企都是平行的。　</w:t>
      </w:r>
    </w:p>
    <w:p>
      <w:r>
        <w:t xml:space="preserve">据邵宁介绍，将被装进国新公司的央企所具有的共同特点是：经营比较困难，手上又没有足够资源，有好的业务板块但缺乏资金做强做大，不好的业务板块也没钱支付退出所需要的改革成本。国新公司的作用就在于给这些公司好的板块集中提供资源，帮助其做大做强；帮助其支付改革成本尽快从不好的板块退出。　</w:t>
      </w:r>
    </w:p>
    <w:p>
      <w:r>
        <w:t xml:space="preserve">在回答央企今年能否减至100家的问题时，邵宁表示，国资委一直把重组效果而不是数量放在第一位，如果仅为了一个数字目标而重组，不一定能保证重组效果。据邵宁透露，国资委主任王勇到任后主持了一个重组工作专题会议，会议认为，央企重组的方向和目标不变，但具体进度要服从工作质量和效果的需要。</w:t>
      </w:r>
    </w:p>
    <w:p>
      <w:r>
        <w:t xml:space="preserve">推动国企以A+H模式上市　</w:t>
      </w:r>
    </w:p>
    <w:p>
      <w:r>
        <w:t xml:space="preserve">在谈到国企与资本市场关系时，邵宁表示，下一步改革重点是鼓励整体上市，最终把大型国企打造成单一上市公司，依照资本市场要求运营。"原先国企上市是把一块优质资产剥出来，包装后到市场上市拿回一笔钱。我们现在做的方向是整体上市，至少要做到主营业务整体上市。" 邵宁称。　</w:t>
      </w:r>
    </w:p>
    <w:p>
      <w:r>
        <w:t xml:space="preserve">邵宁指出，国有企业改革的最终目标就是把大型国企打造成一个干干净净的上市公司，由于国有企业或多或少都有一些难以进入上市公司的不良资产，因而在现有上市模式下，由集团公司控股一个很大的上市公司，上市公司外还有包袱。"以后要逐步把包袱消化掉，之后再把集团公司去掉，只保留中间做主营业务的上市公司，完全按照资本市场的要求进行运营。" 邵宁说。　</w:t>
      </w:r>
    </w:p>
    <w:p>
      <w:r>
        <w:t xml:space="preserve">此外，邵宁还表示，国资委未来会继续推动国企到境外上市，"无论是已经境外上市的，还是没有境外上市的，我们都希望创造条件，用A+H的模式在两地上市。"</w:t>
      </w:r>
    </w:p>
    <w:p>
      <w:hyperlink r:id="rId36">
        <w:r>
          <w:rPr>
            <w:rStyle w:val="Link"/>
          </w:rPr>
          <w:t xml:space="preserve">来源：新华网</w:t>
        </w:r>
      </w:hyperlink>
    </w:p>
    <w:p>
      <w:pPr>
        <w:pStyle w:val="Heading3"/>
      </w:pPr>
      <w:bookmarkStart w:id="37" w:name="月cpi或创新高-多部门紧急出手平抑物价平台"/>
      <w:bookmarkEnd w:id="37"/>
      <w:r>
        <w:t xml:space="preserve">10月CPI或创新高 多部门紧急出手平抑物价平台</w:t>
      </w:r>
    </w:p>
    <w:p>
      <w:r>
        <w:t xml:space="preserve">在7月、8月和9月我国消费者价格指数（CPI）涨幅连创新高之后，10月份CPI可能再度刷新高点纪录。权威部门有关负责人日前在一内部论坛上指出，四季度我国CPI可能出现月度上涨4%左右的情况，物价上涨压力将进一步加大。为此，包括发改委在内的多个部门日前紧急出手平抑物价。</w:t>
      </w:r>
    </w:p>
    <w:p>
      <w:r>
        <w:t xml:space="preserve">10月CPI或再刷新纪录　　</w:t>
      </w:r>
    </w:p>
    <w:p>
      <w:r>
        <w:t xml:space="preserve">国家统计局日前公布数据显示，7月份我国CPI涨幅达3.3%，8月CPI涨幅达3.5%，9月份CPI达3.6%，连创新高。　</w:t>
      </w:r>
    </w:p>
    <w:p>
      <w:r>
        <w:t xml:space="preserve">"可以说，目前我国物价调控面临的压力在逐步增大。" 中国国际经济交流中心研究员张永军对本报记者表示。　</w:t>
      </w:r>
    </w:p>
    <w:p>
      <w:r>
        <w:t xml:space="preserve">事实上，张永军指出，物价调控面临的压力包括国际和国内两个方面。国内方面主要是去年为了刺激经济国家投放的天量信贷所造成的流动性过剩，而美国的量化宽松政策，则造成国际大宗商品的上涨，可能会增加输入性通胀压力。　</w:t>
      </w:r>
    </w:p>
    <w:p>
      <w:r>
        <w:t xml:space="preserve">而从数据上来看，国内物价越来越大的上涨压力也见端倪。国家发改委日前发布数据显示，10月份我国猪肉价格稳中略升，鸡蛋价格有所回落，牛羊肉和鸡肉价格继续小幅上涨，食用油和蔬菜价格上涨较为明显。</w:t>
      </w:r>
    </w:p>
    <w:p>
      <w:r>
        <w:t xml:space="preserve">国家统计局总经济师姚景源指出，10月份我国CPI涨幅可能会再创新高。而对于这个新高，多券商预计将会在4%左右。　</w:t>
      </w:r>
    </w:p>
    <w:p>
      <w:r>
        <w:t xml:space="preserve">权威部门有关负责人在一内部论坛上指出，前三季度CPI累计上涨2.9%，食品价格上涨是主要原因，今年总体来说CPI上涨应该是可控的，大概会略高于3%，对价格上涨推动力最大的应该是食品价格的上升，包括国内农产品价格上升和国际大宗商品价格上升。该人士指出，四季度不排除我国月度CPI涨幅会达到4%左右的可能性。</w:t>
      </w:r>
    </w:p>
    <w:p>
      <w:r>
        <w:t xml:space="preserve">宏源证券日前发布的报告预计，10月我国CPI同比上涨4.3%，PPI同比上涨4.7%。报告还预计，10月份食品价格同比上涨10%，对CPI同比涨幅贡献3.3个百分点。而对于非食品项，考虑近期油价上调以及商务部生产资料价格依旧小幅上行，预计10月非食品项同比上涨1.5%，对CPI同比涨幅贡献1.0个百分点。　</w:t>
      </w:r>
    </w:p>
    <w:p>
      <w:r>
        <w:t xml:space="preserve">有必要出台调控措施　</w:t>
      </w:r>
    </w:p>
    <w:p>
      <w:r>
        <w:t xml:space="preserve">为稳定棉花市场，发改委等7部门日前下发紧急通知，要求严厉查处散布涨价信息、哄抬价格等行为。接近发改委的有关专家指出，目前多个部委还在酝酿相关物价调控措施。　　</w:t>
      </w:r>
    </w:p>
    <w:p>
      <w:r>
        <w:t xml:space="preserve">发改委价格司副司长周望军表示，考虑到农产品价格上涨是长期趋势，政府将通过抛储等经济手段来应对物价上涨。他指出，宏观调控就是希望把价格涨幅控制在一定范围内，控制在城市居民，特别是低收入群体能够承受的范围之内。　</w:t>
      </w:r>
    </w:p>
    <w:p>
      <w:r>
        <w:t xml:space="preserve">张永军表示，目前通胀压力逐步增强，确实存在采取物价调控措施的必要性，而对于具体调控方向，张永军认为应当重点应对农产品价格的大幅上涨，同时采取措施防止热钱流入。</w:t>
      </w:r>
    </w:p>
    <w:p>
      <w:hyperlink r:id="rId38">
        <w:r>
          <w:rPr>
            <w:rStyle w:val="Link"/>
          </w:rPr>
          <w:t xml:space="preserve">来源：新华网</w:t>
        </w:r>
      </w:hyperlink>
    </w:p>
    <w:p>
      <w:pPr>
        <w:pStyle w:val="Heading3"/>
      </w:pPr>
      <w:bookmarkStart w:id="39" w:name="中国在imf投票权进前三-美国仍有实际否决权"/>
      <w:bookmarkEnd w:id="39"/>
      <w:r>
        <w:t xml:space="preserve">中国在IMF投票权进前三 美国仍有实际否决权</w:t>
      </w:r>
    </w:p>
    <w:p>
      <w:r>
        <w:t xml:space="preserve">中国人民银行宣布，国际货币基金组织 (IMF) 执行董事会于北京时间11月6日晨7时30分就份额和治理改革一揽子方案达成一致。根据该方案，我国份额占比将从目前的3.72％升至6.39％，排名从并列第六跃居第三。该方案要求各成员国尽最大努力，加快各项审批程序，争取2012年基金组织年会前使本轮份额改革方案正式生效。　</w:t>
      </w:r>
    </w:p>
    <w:p>
      <w:r>
        <w:t xml:space="preserve">根据方案，发达国家份额整体将降至57.7%，发展中国家升至42.3%，发达国家向新兴市场和发展中国家整体转移份额2.8个百分点。　</w:t>
      </w:r>
    </w:p>
    <w:p>
      <w:r>
        <w:t xml:space="preserve">在IMF董事会做出决定之后，基金组织总裁卡恩表示："这项具有历史意义的协议是基金组织65年历史上一次最根本性的治理改革，也是一次最大规模的有利于新兴市场和发展中国家的权力调整，调整是为了认可它们在全球经济中越来越大的作用。"　</w:t>
      </w:r>
    </w:p>
    <w:p>
      <w:r>
        <w:t xml:space="preserve">中国外交部副部长崔天凯表示，IMF的份额理应反映国际经济格局的现实情况，为中国增加份额是一种合情合理的要求。二十国集团领导人早就做出承诺，要在首尔峰会前在国际货币基金组织配额改革方面取得进展。“这种份额改革实际上是要如实反映国际经济格局，因为份额分配情况早已落后于世界经济变化的现实。”　</w:t>
      </w:r>
    </w:p>
    <w:p>
      <w:r>
        <w:t xml:space="preserve">渤海证券宏观分析师杜征征表示，中国本次投票权的提高，可以提升中国在IMF的发言权；而份额的提高，也决定了中国可向IMF申请贷款的增加。不过，IMF重大议题都需要85％的通过率，而美国近年来投票权基本在17%左右，因此美国享有实际否决权。重新分配投票权只是个开始，其最终目标是建立公平的全球货币体系。</w:t>
      </w:r>
    </w:p>
    <w:p>
      <w:hyperlink r:id="rId40">
        <w:r>
          <w:rPr>
            <w:rStyle w:val="Link"/>
          </w:rPr>
          <w:t xml:space="preserve">信息来源：京华时报</w:t>
        </w:r>
      </w:hyperlink>
    </w:p>
    <w:p>
      <w:pPr>
        <w:pStyle w:val="Heading2"/>
      </w:pPr>
      <w:bookmarkStart w:id="41" w:name="房产-real-estate"/>
      <w:bookmarkEnd w:id="41"/>
      <w:r>
        <w:t xml:space="preserve">房产 Real Estate</w:t>
      </w:r>
    </w:p>
    <w:p>
      <w:pPr>
        <w:pStyle w:val="Heading3"/>
      </w:pPr>
      <w:bookmarkStart w:id="42" w:name="境外机构个人购房将受限"/>
      <w:bookmarkEnd w:id="42"/>
      <w:r>
        <w:t xml:space="preserve">境外机构个人购房将受限</w:t>
      </w:r>
    </w:p>
    <w:p>
      <w:r>
        <w:t xml:space="preserve">银住建部与国家外汇局近日印发 [关于进一步规范境外机构和个人购房的通知] 规定，境外个人只能在境内购买一套用于自住的住房，而境外机构只能在注册城市购买办公所需的非住宅房屋。</w:t>
      </w:r>
    </w:p>
    <w:p>
      <w:r>
        <w:t xml:space="preserve">文件要求，各地房地产主管部门在办理境外个人的商品房预售合同备案和房屋产权登记时，除应当查验 [城市商品房预售管理办法]、[房屋登记办法] 规定的材料及验证购房人持有的房屋情况外，还增设了查验资质环节，其中包括：有关部门出具的境外个人(不含港澳台居民和华侨)在境内工作超过一年的证明；港澳台居民和华侨在境内工作、学习和居留的证明；境外个人名下在境内无其他住房的书面承诺。</w:t>
      </w:r>
    </w:p>
    <w:p>
      <w:r>
        <w:t xml:space="preserve">而在境外机构方面，文件也同样增设了查验资质环节，包括：有关部门出具的在境内设立分支、代表机构的批准文件和注册证明；境外机构所购房屋是实际办公所需的书面承诺。</w:t>
      </w:r>
    </w:p>
    <w:p>
      <w:hyperlink r:id="rId43">
        <w:r>
          <w:rPr>
            <w:rStyle w:val="Link"/>
          </w:rPr>
          <w:t xml:space="preserve">来源：证券时报网</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4">
        <w:r>
          <w:rPr>
            <w:rStyle w:val="Link"/>
          </w:rPr>
          <w:t xml:space="preserve">unsubscribe@charltonslaw.com</w:t>
        </w:r>
      </w:hyperlink>
    </w:p>
    <w:p>
      <w:r>
        <w:rPr>
          <w:b/>
        </w:rPr>
        <w:t xml:space="preserve">易周律师行 - 法讯 - 中国 - 第355期 - 2010年11月12日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8ae782a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news.hexun.com/2010-11-10/125558729.html?fromnews=hexunssyw" TargetMode="External" /><Relationship Type="http://schemas.openxmlformats.org/officeDocument/2006/relationships/hyperlink" Id="rId36" Target="http://news.xinhuanet.com/fortune/2010-11/09/c_12751832_2.htm" TargetMode="External" /><Relationship Type="http://schemas.openxmlformats.org/officeDocument/2006/relationships/hyperlink" Id="rId38" Target="http://news.xinhuanet.com/fortune/2010-11/09/c_12751870.htm" TargetMode="External" /><Relationship Type="http://schemas.openxmlformats.org/officeDocument/2006/relationships/hyperlink" Id="rId31" Target="http://news.xinhuanet.com/fortune/2010-11/09/c_12753352.htm" TargetMode="External" /><Relationship Type="http://schemas.openxmlformats.org/officeDocument/2006/relationships/hyperlink" Id="rId21" Target="http://www.charltonslaw.com.cn/china-news-alerts-cn-issue-355/" TargetMode="External" /><Relationship Type="http://schemas.openxmlformats.org/officeDocument/2006/relationships/hyperlink" Id="rId34" Target="http://www.china-inv.cn/resources/news_20101107_129205.html" TargetMode="External" /><Relationship Type="http://schemas.openxmlformats.org/officeDocument/2006/relationships/hyperlink" Id="rId43" Target="http://www.chinadaily.com.cn/hqcj/fcdt/2010-11-12/content_1191024.html" TargetMode="External" /><Relationship Type="http://schemas.openxmlformats.org/officeDocument/2006/relationships/hyperlink" Id="rId28" Target="http://www.chinalawinfo.com/fzdt/NewsContent.aspx?id=27757" TargetMode="External" /><Relationship Type="http://schemas.openxmlformats.org/officeDocument/2006/relationships/hyperlink" Id="rId40" Target="http://www.fdi.gov.cn/pub/FDI/tzdt/dt/t20101108_128065.htm?fclose=1" TargetMode="External" /><Relationship Type="http://schemas.openxmlformats.org/officeDocument/2006/relationships/hyperlink" Id="rId44"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5" Target="http://news.hexun.com/2010-11-10/125558729.html?fromnews=hexunssyw" TargetMode="External" /><Relationship Type="http://schemas.openxmlformats.org/officeDocument/2006/relationships/hyperlink" Id="rId36" Target="http://news.xinhuanet.com/fortune/2010-11/09/c_12751832_2.htm" TargetMode="External" /><Relationship Type="http://schemas.openxmlformats.org/officeDocument/2006/relationships/hyperlink" Id="rId38" Target="http://news.xinhuanet.com/fortune/2010-11/09/c_12751870.htm" TargetMode="External" /><Relationship Type="http://schemas.openxmlformats.org/officeDocument/2006/relationships/hyperlink" Id="rId31" Target="http://news.xinhuanet.com/fortune/2010-11/09/c_12753352.htm" TargetMode="External" /><Relationship Type="http://schemas.openxmlformats.org/officeDocument/2006/relationships/hyperlink" Id="rId21" Target="http://www.charltonslaw.com.cn/china-news-alerts-cn-issue-355/" TargetMode="External" /><Relationship Type="http://schemas.openxmlformats.org/officeDocument/2006/relationships/hyperlink" Id="rId34" Target="http://www.china-inv.cn/resources/news_20101107_129205.html" TargetMode="External" /><Relationship Type="http://schemas.openxmlformats.org/officeDocument/2006/relationships/hyperlink" Id="rId43" Target="http://www.chinadaily.com.cn/hqcj/fcdt/2010-11-12/content_1191024.html" TargetMode="External" /><Relationship Type="http://schemas.openxmlformats.org/officeDocument/2006/relationships/hyperlink" Id="rId28" Target="http://www.chinalawinfo.com/fzdt/NewsContent.aspx?id=27757" TargetMode="External" /><Relationship Type="http://schemas.openxmlformats.org/officeDocument/2006/relationships/hyperlink" Id="rId40" Target="http://www.fdi.gov.cn/pub/FDI/tzdt/dt/t20101108_128065.htm?fclose=1" TargetMode="External" /><Relationship Type="http://schemas.openxmlformats.org/officeDocument/2006/relationships/hyperlink" Id="rId44"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第355期 - 2010年11月12日</dc:title>
  <dc:creator/>
</cp:coreProperties>
</file>