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第358期</w:t>
      </w:r>
      <w:r>
        <w:t xml:space="preserve"> </w:t>
      </w:r>
      <w:r>
        <w:t xml:space="preserve">-</w:t>
      </w:r>
      <w:r>
        <w:t xml:space="preserve"> </w:t>
      </w:r>
      <w:r>
        <w:t xml:space="preserve">2011年08月08日</w:t>
      </w:r>
    </w:p>
    <w:p>
      <w:hyperlink r:id="rId21">
        <w:r>
          <w:rPr>
            <w:rStyle w:val="Link"/>
          </w:rPr>
          <w:t xml:space="preserve">网络版</w:t>
        </w:r>
      </w:hyperlink>
    </w:p>
    <w:p>
      <w:pPr>
        <w:pStyle w:val="Heading1"/>
      </w:pPr>
      <w:bookmarkStart w:id="22" w:name="法讯中国第358期"/>
      <w:bookmarkEnd w:id="22"/>
      <w:r>
        <w:t xml:space="preserve">法讯中国第358期</w:t>
      </w:r>
    </w:p>
    <w:p>
      <w:pPr>
        <w:pStyle w:val="Heading2"/>
      </w:pPr>
      <w:bookmarkStart w:id="23" w:name="首次公开发行-ipo"/>
      <w:bookmarkEnd w:id="23"/>
      <w:r>
        <w:t xml:space="preserve">首次公开发行 IPO</w:t>
      </w:r>
    </w:p>
    <w:p>
      <w:pPr>
        <w:pStyle w:val="Heading3"/>
      </w:pPr>
      <w:bookmarkStart w:id="24" w:name="中国继续保持首次公开发行的主导地位"/>
      <w:bookmarkEnd w:id="24"/>
      <w:r>
        <w:t xml:space="preserve">中国继续保持首次公开发行的主导地位</w:t>
      </w:r>
    </w:p>
    <w:p>
      <w:r>
        <w:t xml:space="preserve">尽管近来经济增长放缓，根据安永会计师事务所的最近报告，中国在全球首次公开发行市场会保持主导地位。</w:t>
      </w:r>
    </w:p>
    <w:p>
      <w:r>
        <w:t xml:space="preserve">第二季度末，已经有108个中国发行者完成了首次公开发行，共集资204亿美元，占全球集资总量的31.6%。以交易数量而言，仅深圳证券交易所在2011年上半年都记录了144次交易，排在世界证券交易的前列。</w:t>
      </w:r>
    </w:p>
    <w:p>
      <w:r>
        <w:t xml:space="preserve">新的上海国际板有望于今年年末推出，进一步证明中国首次公开发行的主导地位。国际板的推出将使得其与香港首次公开发行市场直接竞争。香港首次公开发行市场正在努力吸引更多的外国公司。人民币还不能完全可兑换，是将上海国际板处于不利的障碍。</w:t>
      </w:r>
    </w:p>
    <w:p>
      <w:r>
        <w:t xml:space="preserve">安永的工业和优先账户管理合伙人Paul Go把中国首次公开发行市场的放缓归因于投资者担忧「商品和房价的通胀问题」。然而，他同时指出「中国首次公开发行渠道还是非常强大，中国将继续引领全球2011年的首次公开发行活动」。</w:t>
      </w:r>
    </w:p>
    <w:p>
      <w:r>
        <w:t xml:space="preserve">来源 :</w:t>
      </w:r>
      <w:r>
        <w:t xml:space="preserve"> </w:t>
      </w:r>
      <w:hyperlink r:id="rId25">
        <w:r>
          <w:rPr>
            <w:rStyle w:val="Link"/>
          </w:rPr>
          <w:t xml:space="preserve">China Daily</w:t>
        </w:r>
      </w:hyperlink>
      <w:r>
        <w:t xml:space="preserve">,</w:t>
      </w:r>
      <w:r>
        <w:t xml:space="preserve"> </w:t>
      </w:r>
      <w:hyperlink r:id="rId26">
        <w:r>
          <w:rPr>
            <w:rStyle w:val="Link"/>
          </w:rPr>
          <w:t xml:space="preserve">Ernst &amp; Young</w:t>
        </w:r>
      </w:hyperlink>
    </w:p>
    <w:p>
      <w:pPr>
        <w:pStyle w:val="Heading3"/>
      </w:pPr>
      <w:bookmarkStart w:id="27" w:name="首次公开发行的时间规定得以澄清"/>
      <w:bookmarkEnd w:id="27"/>
      <w:r>
        <w:t xml:space="preserve">首次公开发行的时间规定得以澄清</w:t>
      </w:r>
    </w:p>
    <w:p>
      <w:r>
        <w:t xml:space="preserve">周四（7月14日），中国证券监督管理委员会（证监会）声明如今公司首次公开发行能够自行选择决定发行日期。</w:t>
      </w:r>
    </w:p>
    <w:p>
      <w:r>
        <w:t xml:space="preserve">目前的公司获得证监会许可后会立即上市发行，新规定表示公司可以在获得许可后的六个月内选择开始首次公开发行的时间。在首次公开发行的计划阶段，该规则将给予公司更大的自由选择权。</w:t>
      </w:r>
    </w:p>
    <w:p>
      <w:r>
        <w:t xml:space="preserve">证监会在回答上海证券报的询问时表明，对于计划首次公开发行的公司，在收到证监会的发行许可后，如果不立即开始发行，将不会因此违法或承受任何压力。上个月深圳比亚迪有限公司成功将其预售期从三天展期至6天，上述规定的改变确认对展期原因的推测。</w:t>
      </w:r>
    </w:p>
    <w:p>
      <w:r>
        <w:t xml:space="preserve">来源 :</w:t>
      </w:r>
      <w:r>
        <w:t xml:space="preserve"> </w:t>
      </w:r>
      <w:hyperlink r:id="rId28">
        <w:r>
          <w:rPr>
            <w:rStyle w:val="Link"/>
          </w:rPr>
          <w:t xml:space="preserve">Reuters</w:t>
        </w:r>
      </w:hyperlink>
    </w:p>
    <w:p>
      <w:pPr>
        <w:pStyle w:val="Heading2"/>
      </w:pPr>
      <w:bookmarkStart w:id="29" w:name="投资-investment"/>
      <w:bookmarkEnd w:id="29"/>
      <w:r>
        <w:t xml:space="preserve">投资 INVESTMENT</w:t>
      </w:r>
    </w:p>
    <w:p>
      <w:pPr>
        <w:pStyle w:val="Heading3"/>
      </w:pPr>
      <w:bookmarkStart w:id="30" w:name="外汇管理局对外商投资性企业在中国再投资的新规定"/>
      <w:bookmarkEnd w:id="30"/>
      <w:r>
        <w:t xml:space="preserve">外汇管理局对外商投资性企业在中国再投资的新规定</w:t>
      </w:r>
    </w:p>
    <w:p>
      <w:r>
        <w:t xml:space="preserve">如今，外商投资性企业欲再投资必须增加他们的注册资本，其增加的量与外汇管理局（外管局）的通告的规定一致。</w:t>
      </w:r>
    </w:p>
    <w:p>
      <w:r>
        <w:t xml:space="preserve">该通告（名称为《关于外商投资性企业再投资验资确认问题的通知》或第7号通告）已经公布，并于2011年3月29日起生效。该通告规定以投资企业在中国获得的法定收入再投资是增资的先决条件。这一举措等同向外商投资性企业征收10%的预扣税款，因为转化收入变成注册资本被认为是该企业外国股东用所得股份收入再投资之后的股息分配。</w:t>
      </w:r>
    </w:p>
    <w:p>
      <w:r>
        <w:t xml:space="preserve">外商投资性企业用利润增资也要符合工商局的许可，由此产生一些困惑。商务部已经指示上海工商局暂停公布外管局第7号通告的许可内容。外管局和商务部当下正在制定联合指导意见，已解决两个部分在此问题上的不一致看法。尽管新规定已经生效，外商投资性企业希望用其利润增加注册资本金的愿望将必须等到外管局和商务部在此事上协调一致后才能确定。</w:t>
      </w:r>
    </w:p>
    <w:p>
      <w:r>
        <w:t xml:space="preserve">来源 :</w:t>
      </w:r>
      <w:r>
        <w:t xml:space="preserve"> </w:t>
      </w:r>
      <w:hyperlink r:id="rId31">
        <w:r>
          <w:rPr>
            <w:rStyle w:val="Link"/>
          </w:rPr>
          <w:t xml:space="preserve">Law Now</w:t>
        </w:r>
      </w:hyperlink>
    </w:p>
    <w:p>
      <w:pPr>
        <w:pStyle w:val="Heading3"/>
      </w:pPr>
      <w:bookmarkStart w:id="32" w:name="外汇管理局强调他在热钱问题上的立场"/>
      <w:bookmarkEnd w:id="32"/>
      <w:r>
        <w:t xml:space="preserve">外汇管理局强调他在热钱问题上的立场</w:t>
      </w:r>
    </w:p>
    <w:p>
      <w:r>
        <w:t xml:space="preserve">外汇管理局（外管局）对「热钱」流入及中国经济所受负面影响方面，重申他的立场。外管局的网站上表示仍处在完全的「高压」态势中。</w:t>
      </w:r>
    </w:p>
    <w:p>
      <w:r>
        <w:t xml:space="preserve">外管局在对待热钱问题上，态度如此之严肃，据声明，有十家涉嫌参与非法外汇交易的公司受到了处罚。这是此等公司在不到一年内受到的第三次处罚。</w:t>
      </w:r>
    </w:p>
    <w:p>
      <w:r>
        <w:t xml:space="preserve">在2010年，355亿美元的热钱流入中国，使得全年的外汇储备增加了7.6%。该数目有望在量化宽松的美国项目结束后降低，到时只有少量的基金能够进入新兴市场。外管局不打算缓和立场，在热钱流入对经济稳定性的危险日益增加方面，他们仍旧保持警惕。</w:t>
      </w:r>
    </w:p>
    <w:p>
      <w:r>
        <w:t xml:space="preserve">六月份的通胀指数达到了三年来的最高即6.4%，控制热钱是应对通胀过高的主要手段。西南证券总经济师王建辉称：「投机资本流入的增加无疑会使得政府控制通胀更加困难。」</w:t>
      </w:r>
    </w:p>
    <w:p>
      <w:r>
        <w:t xml:space="preserve">外管局网站上的数字显示第一季度外汇储备增长了1380亿美元。热钱增长将下调多少，还有待披露。</w:t>
      </w:r>
    </w:p>
    <w:p>
      <w:r>
        <w:t xml:space="preserve">来源 :</w:t>
      </w:r>
      <w:r>
        <w:t xml:space="preserve"> </w:t>
      </w:r>
      <w:hyperlink r:id="rId33">
        <w:r>
          <w:rPr>
            <w:rStyle w:val="Link"/>
          </w:rPr>
          <w:t xml:space="preserve">China Daily</w:t>
        </w:r>
      </w:hyperlink>
    </w:p>
    <w:p>
      <w:pPr>
        <w:pStyle w:val="Heading2"/>
      </w:pPr>
      <w:bookmarkStart w:id="34" w:name="税收-taxation"/>
      <w:bookmarkEnd w:id="34"/>
      <w:r>
        <w:t xml:space="preserve">税收 TAXATION</w:t>
      </w:r>
    </w:p>
    <w:p>
      <w:pPr>
        <w:pStyle w:val="Heading3"/>
      </w:pPr>
      <w:bookmarkStart w:id="35" w:name="提高中国个人所得税的起征点"/>
      <w:bookmarkEnd w:id="35"/>
      <w:r>
        <w:t xml:space="preserve">提高中国个人所得税的起征点</w:t>
      </w:r>
    </w:p>
    <w:p>
      <w:r>
        <w:t xml:space="preserve">6月30日，全国人民代表大会常务委员会公布其将提高个人所得税（个税）税率，于2011年9月1日起生效。</w:t>
      </w:r>
    </w:p>
    <w:p>
      <w:r>
        <w:t xml:space="preserve">第十一届全国人民代表大会常务委员会第二十一次会议根据中华人民共和国国家主席令（第四十八号）对个税率的计算方式作了一系列的调整。主要方面如下：</w:t>
      </w:r>
    </w:p>
    <w:p>
      <w:pPr>
        <w:numPr>
          <w:numId w:val="1001"/>
          <w:ilvl w:val="0"/>
        </w:numPr>
      </w:pPr>
      <w:r>
        <w:t xml:space="preserve">中国大陆的个税起征点从每月人民币2000元调高到了每月3500元。同时，给予侨民的补贴维持在每月人民币4800元。</w:t>
      </w:r>
    </w:p>
    <w:p>
      <w:pPr>
        <w:numPr>
          <w:numId w:val="1001"/>
          <w:ilvl w:val="0"/>
        </w:numPr>
      </w:pPr>
      <w:r>
        <w:t xml:space="preserve">报税的最后期限从「次月的前七日内」延长到 「次月的前十五日内」。</w:t>
      </w:r>
    </w:p>
    <w:p>
      <w:pPr>
        <w:numPr>
          <w:numId w:val="1001"/>
          <w:ilvl w:val="0"/>
        </w:numPr>
      </w:pPr>
      <w:r>
        <w:t xml:space="preserve">适用于工资及薪金的税率会被调整。现时使用的税率表与新的税率表载列如下，以供参考：</w:t>
      </w:r>
    </w:p>
    <w:p>
      <w:pPr>
        <w:pStyle w:val="Heading4"/>
      </w:pPr>
      <w:bookmarkStart w:id="36" w:name="新个税税率表-自2011年9月1日起生效"/>
      <w:bookmarkEnd w:id="36"/>
      <w:r>
        <w:t xml:space="preserve">新个税税率表 — 自2011年9月1日起生效</w:t>
      </w:r>
    </w:p>
    <w:p>
      <w:pPr>
        <w:pStyle w:val="Compact"/>
      </w:pPr>
      <w:r>
        <w:t xml:space="preserve">全月应纳税所得额</w:t>
      </w:r>
    </w:p>
    <w:p>
      <w:pPr>
        <w:pStyle w:val="Compact"/>
      </w:pPr>
      <w:r>
        <w:t xml:space="preserve">税率 （%）</w:t>
      </w:r>
    </w:p>
    <w:p>
      <w:pPr>
        <w:pStyle w:val="Compact"/>
      </w:pPr>
      <w:r>
        <w:t xml:space="preserve">不超过1500元的部分</w:t>
      </w:r>
    </w:p>
    <w:p>
      <w:pPr>
        <w:pStyle w:val="Compact"/>
      </w:pPr>
      <w:r>
        <w:t xml:space="preserve">3</w:t>
      </w:r>
    </w:p>
    <w:p>
      <w:pPr>
        <w:pStyle w:val="Compact"/>
      </w:pPr>
      <w:r>
        <w:t xml:space="preserve">超过1500元至4500元的部分</w:t>
      </w:r>
    </w:p>
    <w:p>
      <w:pPr>
        <w:pStyle w:val="Compact"/>
      </w:pPr>
      <w:r>
        <w:t xml:space="preserve">10</w:t>
      </w:r>
    </w:p>
    <w:p>
      <w:pPr>
        <w:pStyle w:val="Compact"/>
      </w:pPr>
      <w:r>
        <w:t xml:space="preserve">超过4500元至9000元的部分</w:t>
      </w:r>
    </w:p>
    <w:p>
      <w:pPr>
        <w:pStyle w:val="Compact"/>
      </w:pPr>
      <w:r>
        <w:t xml:space="preserve">20</w:t>
      </w:r>
    </w:p>
    <w:p>
      <w:pPr>
        <w:pStyle w:val="Compact"/>
      </w:pPr>
      <w:r>
        <w:t xml:space="preserve">超过9000元至35000元的部分</w:t>
      </w:r>
    </w:p>
    <w:p>
      <w:pPr>
        <w:pStyle w:val="Compact"/>
      </w:pPr>
      <w:r>
        <w:t xml:space="preserve">25</w:t>
      </w:r>
    </w:p>
    <w:p>
      <w:pPr>
        <w:pStyle w:val="Compact"/>
      </w:pPr>
      <w:r>
        <w:t xml:space="preserve">超过35000元至55000元的部分</w:t>
      </w:r>
    </w:p>
    <w:p>
      <w:pPr>
        <w:pStyle w:val="Compact"/>
      </w:pPr>
      <w:r>
        <w:t xml:space="preserve">30</w:t>
      </w:r>
    </w:p>
    <w:p>
      <w:pPr>
        <w:pStyle w:val="Compact"/>
      </w:pPr>
      <w:r>
        <w:t xml:space="preserve">超过55000元至80000元的部分</w:t>
      </w:r>
    </w:p>
    <w:p>
      <w:pPr>
        <w:pStyle w:val="Compact"/>
      </w:pPr>
      <w:r>
        <w:t xml:space="preserve">35</w:t>
      </w:r>
    </w:p>
    <w:p>
      <w:pPr>
        <w:pStyle w:val="Compact"/>
      </w:pPr>
      <w:r>
        <w:t xml:space="preserve">超过80000元的部分</w:t>
      </w:r>
    </w:p>
    <w:p>
      <w:pPr>
        <w:pStyle w:val="Compact"/>
      </w:pPr>
      <w:r>
        <w:t xml:space="preserve">45</w:t>
      </w:r>
    </w:p>
    <w:p>
      <w:pPr>
        <w:pStyle w:val="Heading4"/>
      </w:pPr>
      <w:bookmarkStart w:id="37" w:name="目前个税税率表-有效至2011年8月31日"/>
      <w:bookmarkEnd w:id="37"/>
      <w:r>
        <w:t xml:space="preserve">目前个税税率表 — 有效至2011年8月31日</w:t>
      </w:r>
    </w:p>
    <w:p>
      <w:pPr>
        <w:pStyle w:val="Compact"/>
      </w:pPr>
      <w:r>
        <w:t xml:space="preserve">全月应纳税所得额</w:t>
      </w:r>
    </w:p>
    <w:p>
      <w:pPr>
        <w:pStyle w:val="Compact"/>
      </w:pPr>
      <w:r>
        <w:t xml:space="preserve">税率 （%）</w:t>
      </w:r>
    </w:p>
    <w:p>
      <w:pPr>
        <w:pStyle w:val="Compact"/>
      </w:pPr>
      <w:r>
        <w:t xml:space="preserve">不超过500元的部分</w:t>
      </w:r>
    </w:p>
    <w:p>
      <w:pPr>
        <w:pStyle w:val="Compact"/>
      </w:pPr>
      <w:r>
        <w:t xml:space="preserve">5</w:t>
      </w:r>
    </w:p>
    <w:p>
      <w:pPr>
        <w:pStyle w:val="Compact"/>
      </w:pPr>
      <w:r>
        <w:t xml:space="preserve">超过500元至2000元的部分</w:t>
      </w:r>
    </w:p>
    <w:p>
      <w:pPr>
        <w:pStyle w:val="Compact"/>
      </w:pPr>
      <w:r>
        <w:t xml:space="preserve">10</w:t>
      </w:r>
    </w:p>
    <w:p>
      <w:pPr>
        <w:pStyle w:val="Compact"/>
      </w:pPr>
      <w:r>
        <w:t xml:space="preserve">超过2000元至5000元的部分</w:t>
      </w:r>
    </w:p>
    <w:p>
      <w:pPr>
        <w:pStyle w:val="Compact"/>
      </w:pPr>
      <w:r>
        <w:t xml:space="preserve">15</w:t>
      </w:r>
    </w:p>
    <w:p>
      <w:pPr>
        <w:pStyle w:val="Compact"/>
      </w:pPr>
      <w:r>
        <w:t xml:space="preserve">超过5000元至20000元的部分</w:t>
      </w:r>
    </w:p>
    <w:p>
      <w:pPr>
        <w:pStyle w:val="Compact"/>
      </w:pPr>
      <w:r>
        <w:t xml:space="preserve">20</w:t>
      </w:r>
    </w:p>
    <w:p>
      <w:pPr>
        <w:pStyle w:val="Compact"/>
      </w:pPr>
      <w:r>
        <w:t xml:space="preserve">超过20000元至40000元的部分</w:t>
      </w:r>
    </w:p>
    <w:p>
      <w:pPr>
        <w:pStyle w:val="Compact"/>
      </w:pPr>
      <w:r>
        <w:t xml:space="preserve">25</w:t>
      </w:r>
    </w:p>
    <w:p>
      <w:pPr>
        <w:pStyle w:val="Compact"/>
      </w:pPr>
      <w:r>
        <w:t xml:space="preserve">超过40000元至60000元的部分</w:t>
      </w:r>
    </w:p>
    <w:p>
      <w:pPr>
        <w:pStyle w:val="Compact"/>
      </w:pPr>
      <w:r>
        <w:t xml:space="preserve">30</w:t>
      </w:r>
    </w:p>
    <w:p>
      <w:pPr>
        <w:pStyle w:val="Compact"/>
      </w:pPr>
      <w:r>
        <w:t xml:space="preserve">超过60000元至80000元的部分</w:t>
      </w:r>
    </w:p>
    <w:p>
      <w:pPr>
        <w:pStyle w:val="Compact"/>
      </w:pPr>
      <w:r>
        <w:t xml:space="preserve">35</w:t>
      </w:r>
    </w:p>
    <w:p>
      <w:pPr>
        <w:pStyle w:val="Compact"/>
      </w:pPr>
      <w:r>
        <w:t xml:space="preserve">超过80000元至100000元的部分</w:t>
      </w:r>
    </w:p>
    <w:p>
      <w:pPr>
        <w:pStyle w:val="Compact"/>
      </w:pPr>
      <w:r>
        <w:t xml:space="preserve">40</w:t>
      </w:r>
    </w:p>
    <w:p>
      <w:pPr>
        <w:pStyle w:val="Compact"/>
      </w:pPr>
      <w:r>
        <w:t xml:space="preserve">超过100000元的部分</w:t>
      </w:r>
    </w:p>
    <w:p>
      <w:pPr>
        <w:pStyle w:val="Compact"/>
      </w:pPr>
      <w:r>
        <w:t xml:space="preserve">45</w:t>
      </w:r>
    </w:p>
    <w:p>
      <w:r>
        <w:br w:type="textWrapping"/>
      </w:r>
      <w:r>
        <w:t xml:space="preserve"> </w:t>
      </w:r>
      <w:r>
        <w:t xml:space="preserve">根据9月1日起使用的新税率，两档额度已被去除。大多数人要支付的个税将增加5%。</w:t>
      </w:r>
    </w:p>
    <w:p>
      <w:hyperlink r:id="rId38">
        <w:r>
          <w:rPr>
            <w:rStyle w:val="Link"/>
          </w:rPr>
          <w:t xml:space="preserve">来源 : Law Info China</w:t>
        </w:r>
      </w:hyperlink>
    </w:p>
    <w:p>
      <w:pPr>
        <w:pStyle w:val="Heading2"/>
      </w:pPr>
      <w:bookmarkStart w:id="39" w:name="房地产-real-estate"/>
      <w:bookmarkEnd w:id="39"/>
      <w:r>
        <w:t xml:space="preserve">房地产 REAL ESTATE</w:t>
      </w:r>
    </w:p>
    <w:p>
      <w:pPr>
        <w:pStyle w:val="Heading3"/>
      </w:pPr>
      <w:bookmarkStart w:id="40" w:name="抑制政策下的房地产投资依旧炽热"/>
      <w:bookmarkEnd w:id="40"/>
      <w:r>
        <w:t xml:space="preserve">抑制政策下的房地产投资依旧炽热</w:t>
      </w:r>
    </w:p>
    <w:p>
      <w:r>
        <w:t xml:space="preserve">虽然出台大批抑制房地产投机的政策，但是中国的房地产投资继续以他自己的方式迅速增长。今年上半年同比投资增长了32.9%即26300亿元，其中18600亿元投入到住房建设，与去年同期相比增长了36.1%。</w:t>
      </w:r>
    </w:p>
    <w:p>
      <w:r>
        <w:t xml:space="preserve">然而，国家发展和改革委员会已经许可金融机构和企业发行债券为保障住房建设融资。中央政府已经确定今年将建造1000万套保障住房，以帮助3000万人找到能买得起的住房。伴随着对商业住房方面越来越多和越来越紧缩的政策，可能导致第三季度的房价下跌。</w:t>
      </w:r>
    </w:p>
    <w:p>
      <w:r>
        <w:t xml:space="preserve">尽管第三季度房价下跌只是小幅度的，但是进一步的利率上涨，对有多余房产的房地产开发商的严格控制，可能使得问题严重化。</w:t>
      </w:r>
    </w:p>
    <w:p>
      <w:hyperlink r:id="rId41">
        <w:r>
          <w:rPr>
            <w:rStyle w:val="Link"/>
          </w:rPr>
          <w:t xml:space="preserve">来源 : China Daily</w:t>
        </w:r>
      </w:hyperlink>
    </w:p>
    <w:p>
      <w:pPr>
        <w:pStyle w:val="Heading2"/>
      </w:pPr>
      <w:bookmarkStart w:id="42" w:name="其他-other"/>
      <w:bookmarkEnd w:id="42"/>
      <w:r>
        <w:t xml:space="preserve">其他 OTHER</w:t>
      </w:r>
    </w:p>
    <w:p>
      <w:pPr>
        <w:pStyle w:val="Heading3"/>
      </w:pPr>
      <w:bookmarkStart w:id="43" w:name="政府的-歧视性采购规定被废除"/>
      <w:bookmarkEnd w:id="43"/>
      <w:r>
        <w:t xml:space="preserve">政府的 「歧视性」采购规定被废除</w:t>
      </w:r>
    </w:p>
    <w:p>
      <w:r>
        <w:t xml:space="preserve">外国公司对废除政府采购中有关自主创新的三项规定表示欢迎。</w:t>
      </w:r>
    </w:p>
    <w:p>
      <w:r>
        <w:t xml:space="preserve">该规定详细表述对国内专注于自主创新的企业提供财政资助的条款。该规定于2006年开始采用，欲为经过认证的中国企业提供订立政府合同的良好机会。经全球共计三十家主要代表技术类公司的企业认定，该政策的确存在歧视。于是，2009年12月这三十家企业写信给中国政府，表达此意。如今，外国公司期望有更多的机会获得政府采购订单。</w:t>
      </w:r>
    </w:p>
    <w:p>
      <w:r>
        <w:t xml:space="preserve">最近，国家主席胡锦涛在访问华盛顿期间致辞认为政府采购合同将不会对使用外国技术制造的产品构成歧视，随后，中国做出了废除三项规定的决定。</w:t>
      </w:r>
    </w:p>
    <w:p>
      <w:hyperlink r:id="rId44">
        <w:r>
          <w:rPr>
            <w:rStyle w:val="Link"/>
          </w:rPr>
          <w:t xml:space="preserve">来源 : China Daily</w:t>
        </w:r>
      </w:hyperlink>
    </w:p>
    <w:p>
      <w:pPr>
        <w:pStyle w:val="Heading3"/>
      </w:pPr>
      <w:bookmarkStart w:id="45" w:name="风能公司涉足外国市场"/>
      <w:bookmarkEnd w:id="45"/>
      <w:r>
        <w:t xml:space="preserve">风能公司涉足外国市场</w:t>
      </w:r>
    </w:p>
    <w:p>
      <w:r>
        <w:t xml:space="preserve">伴随着龙源电力集团（龙源电力）在加拿大的安大略省获得100兆瓦发展项目的权利，中国风能公司开展国际市场另辟蹊径。</w:t>
      </w:r>
    </w:p>
    <w:p>
      <w:r>
        <w:t xml:space="preserve">过去，由于激烈的竞争中国风能公司认为自己很难进入外国市场。有了这次交易，龙源电力作为第三大具有装机容量操作员的风能公司，与当地的输电网订立了为期20年的电力供应协议。该交易也为联合动力技术有限公司打开了国门，拥有风力发电设备的中国国有国电公司将为期24个月的项目提供发电设备。龙源电力作为中国国电的一部分，中国进一步加固了她作为世界上最大的风能市场的地位。</w:t>
      </w:r>
    </w:p>
    <w:p>
      <w:r>
        <w:t xml:space="preserve">如今，外国公司来中国进一步拓展风能市场的业务。西班牙风机制造商Gamesa与中国主要的风电发展商已经达成要订立合同的协议。这对龙源来讲是个好消息，鉴于其打算在第十二个五年计划期间（2010至2015年）获得20%到30%的国外市场的份额。</w:t>
      </w:r>
    </w:p>
    <w:p>
      <w:hyperlink r:id="rId46">
        <w:r>
          <w:rPr>
            <w:rStyle w:val="Link"/>
          </w:rPr>
          <w:t xml:space="preserve">来源 : China Daily</w:t>
        </w:r>
      </w:hyperlink>
    </w:p>
    <w:p>
      <w:pPr>
        <w:pStyle w:val="Heading3"/>
      </w:pPr>
      <w:bookmarkStart w:id="47" w:name="法院对保护知识产权将采取进一步措施"/>
      <w:bookmarkEnd w:id="47"/>
      <w:r>
        <w:t xml:space="preserve">法院对保护知识产权将采取进一步措施</w:t>
      </w:r>
    </w:p>
    <w:p>
      <w:r>
        <w:t xml:space="preserve">中国处理知识产权的案件的方式将作调整，以便营造更加简化、有效且价格合理的方式。</w:t>
      </w:r>
    </w:p>
    <w:p>
      <w:r>
        <w:t xml:space="preserve">商务部副部长姜增伟说：「中国需要从西方国家吸取经验，更多强调要诉诸法院解决这些案件。」現時，知识产权保护案件过程中主要依赖行政措施的方式。姜说此措施将得到改善。简化程序及强化法院在处理这些案件中的权力，姜说这是「每一个想要发展技术以成为有较强竞争力的国家必须做的。」</w:t>
      </w:r>
    </w:p>
    <w:p>
      <w:r>
        <w:t xml:space="preserve">本计划将可能节约纳税人的钱，因为法院的费用可以由诉讼当事人负担。然而，如果知识产权保护留给行政机关去做，那么纳税人就不用负担了。</w:t>
      </w:r>
    </w:p>
    <w:p>
      <w:r>
        <w:t xml:space="preserve">据姜介绍，在历时九个月的打击著作权侵权、盗版及其他侵犯知识产权的活动中，警方拘留了9000多名嫌疑人，关闭了12853家地下工厂，解散了4904个团伙。.</w:t>
      </w:r>
    </w:p>
    <w:p>
      <w:r>
        <w:t xml:space="preserve">美国驻中国商会主席Ted Dean对此项计划表示欢迎说：「知识产权保护是公平对待我们这样的知识产权密集型工业和服务业，鼓励创新及推动中国经济的未来发展的基础。」</w:t>
      </w:r>
    </w:p>
    <w:p>
      <w:hyperlink r:id="rId48">
        <w:r>
          <w:rPr>
            <w:rStyle w:val="Link"/>
          </w:rPr>
          <w:t xml:space="preserve">来源 : China IPR</w:t>
        </w:r>
      </w:hyperlink>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49">
        <w:r>
          <w:rPr>
            <w:rStyle w:val="Link"/>
          </w:rPr>
          <w:t xml:space="preserve">unsubscribe@charltonslaw.com</w:t>
        </w:r>
      </w:hyperlink>
    </w:p>
    <w:p>
      <w:r>
        <w:rPr>
          <w:b/>
        </w:rPr>
        <w:t xml:space="preserve">易周律师行 - 法讯 - 中国 - 第358期 - 2011年08月08日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ec514e9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a95e8178"/>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8" Target="http://in.reuters.com/article/2011/07/14/china-ipo-idINL3E7IE04M20110714" TargetMode="External" /><Relationship Type="http://schemas.openxmlformats.org/officeDocument/2006/relationships/hyperlink" Id="rId38" Target="http://tinyurl.com/3ru6bpv" TargetMode="External" /><Relationship Type="http://schemas.openxmlformats.org/officeDocument/2006/relationships/hyperlink" Id="rId21" Target="http://www.charltonslaw.com.cn/china-news-alerts-cn-issue-358/" TargetMode="External" /><Relationship Type="http://schemas.openxmlformats.org/officeDocument/2006/relationships/hyperlink" Id="rId33" Target="http://www.chinadaily.com.cn/bizchina/2011-07/12/content_12882764.htm" TargetMode="External" /><Relationship Type="http://schemas.openxmlformats.org/officeDocument/2006/relationships/hyperlink" Id="rId46" Target="http://www.chinadaily.com.cn/bizchina/2011-07/14/content_12899035.htm" TargetMode="External" /><Relationship Type="http://schemas.openxmlformats.org/officeDocument/2006/relationships/hyperlink" Id="rId41" Target="http://www.chinadaily.com.cn/bizchina/2011-07/14/content_12902316.htm" TargetMode="External" /><Relationship Type="http://schemas.openxmlformats.org/officeDocument/2006/relationships/hyperlink" Id="rId44" Target="http://www.chinadaily.com.cn/business/2011-07/01/content_12816108.htm" TargetMode="External" /><Relationship Type="http://schemas.openxmlformats.org/officeDocument/2006/relationships/hyperlink" Id="rId25" Target="http://www.chinadaily.com.cn/business/2011-07/16/content_12915805.htm" TargetMode="External" /><Relationship Type="http://schemas.openxmlformats.org/officeDocument/2006/relationships/hyperlink" Id="rId48" Target="http://www.chinaipr.gov.cn/newsarticle/news/government/201104/1217689_1.html" TargetMode="External" /><Relationship Type="http://schemas.openxmlformats.org/officeDocument/2006/relationships/hyperlink" Id="rId26" Target="http://www.ey.com/GL/en/Services/Strategic-Growth-Markets/Global-IPO-trends-2010---Q-A--China-IPO-market" TargetMode="External" /><Relationship Type="http://schemas.openxmlformats.org/officeDocument/2006/relationships/hyperlink" Id="rId31" Target="http://www.law-now.com/law-now/2010/chinanewsafejul11.htm" TargetMode="External" /><Relationship Type="http://schemas.openxmlformats.org/officeDocument/2006/relationships/hyperlink" Id="rId49"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8" Target="http://in.reuters.com/article/2011/07/14/china-ipo-idINL3E7IE04M20110714" TargetMode="External" /><Relationship Type="http://schemas.openxmlformats.org/officeDocument/2006/relationships/hyperlink" Id="rId38" Target="http://tinyurl.com/3ru6bpv" TargetMode="External" /><Relationship Type="http://schemas.openxmlformats.org/officeDocument/2006/relationships/hyperlink" Id="rId21" Target="http://www.charltonslaw.com.cn/china-news-alerts-cn-issue-358/" TargetMode="External" /><Relationship Type="http://schemas.openxmlformats.org/officeDocument/2006/relationships/hyperlink" Id="rId33" Target="http://www.chinadaily.com.cn/bizchina/2011-07/12/content_12882764.htm" TargetMode="External" /><Relationship Type="http://schemas.openxmlformats.org/officeDocument/2006/relationships/hyperlink" Id="rId46" Target="http://www.chinadaily.com.cn/bizchina/2011-07/14/content_12899035.htm" TargetMode="External" /><Relationship Type="http://schemas.openxmlformats.org/officeDocument/2006/relationships/hyperlink" Id="rId41" Target="http://www.chinadaily.com.cn/bizchina/2011-07/14/content_12902316.htm" TargetMode="External" /><Relationship Type="http://schemas.openxmlformats.org/officeDocument/2006/relationships/hyperlink" Id="rId44" Target="http://www.chinadaily.com.cn/business/2011-07/01/content_12816108.htm" TargetMode="External" /><Relationship Type="http://schemas.openxmlformats.org/officeDocument/2006/relationships/hyperlink" Id="rId25" Target="http://www.chinadaily.com.cn/business/2011-07/16/content_12915805.htm" TargetMode="External" /><Relationship Type="http://schemas.openxmlformats.org/officeDocument/2006/relationships/hyperlink" Id="rId48" Target="http://www.chinaipr.gov.cn/newsarticle/news/government/201104/1217689_1.html" TargetMode="External" /><Relationship Type="http://schemas.openxmlformats.org/officeDocument/2006/relationships/hyperlink" Id="rId26" Target="http://www.ey.com/GL/en/Services/Strategic-Growth-Markets/Global-IPO-trends-2010---Q-A--China-IPO-market" TargetMode="External" /><Relationship Type="http://schemas.openxmlformats.org/officeDocument/2006/relationships/hyperlink" Id="rId31" Target="http://www.law-now.com/law-now/2010/chinanewsafejul11.htm" TargetMode="External" /><Relationship Type="http://schemas.openxmlformats.org/officeDocument/2006/relationships/hyperlink" Id="rId49"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第358期 - 2011年08月08日</dc:title>
  <dc:creator/>
</cp:coreProperties>
</file>