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第360期</w:t>
      </w:r>
      <w:r>
        <w:t xml:space="preserve"> </w:t>
      </w:r>
      <w:r>
        <w:t xml:space="preserve">-</w:t>
      </w:r>
      <w:r>
        <w:t xml:space="preserve"> </w:t>
      </w:r>
      <w:r>
        <w:t xml:space="preserve">2012年08月30日</w:t>
      </w:r>
    </w:p>
    <w:p>
      <w:hyperlink r:id="rId21">
        <w:r>
          <w:rPr>
            <w:rStyle w:val="Link"/>
          </w:rPr>
          <w:t xml:space="preserve">网络版</w:t>
        </w:r>
      </w:hyperlink>
    </w:p>
    <w:p>
      <w:pPr>
        <w:pStyle w:val="Heading1"/>
      </w:pPr>
      <w:bookmarkStart w:id="22" w:name="法讯中国第360期"/>
      <w:bookmarkEnd w:id="22"/>
      <w:r>
        <w:t xml:space="preserve">法讯中国第360期</w:t>
      </w:r>
    </w:p>
    <w:p>
      <w:pPr>
        <w:pStyle w:val="Heading2"/>
      </w:pPr>
      <w:bookmarkStart w:id="23" w:name="法律"/>
      <w:bookmarkEnd w:id="23"/>
      <w:r>
        <w:t xml:space="preserve">法律</w:t>
      </w:r>
    </w:p>
    <w:p>
      <w:pPr>
        <w:pStyle w:val="Heading3"/>
      </w:pPr>
      <w:bookmarkStart w:id="24" w:name="月起将有一批经济领域的新法规新标准正式实施"/>
      <w:bookmarkEnd w:id="24"/>
      <w:r>
        <w:t xml:space="preserve">8月起将有一批经济领域的新法规、新标准正式实施</w:t>
      </w:r>
    </w:p>
    <w:p>
      <w:r>
        <w:t xml:space="preserve">国务院常务会议决定，自2012年8月1日起至年底，将交通运输业和部分现代服务业营业税改征增值税试点范围，由上海市分批扩大至11个省市。江苏省与北京、天津、浙江、安徽、福建、湖北、广东和厦门、深圳等10省市一道，纳入试点范围。在全国范围内实施货物贸易外汇管理制度改革。此次货物贸易外汇管理制度改革将简化贸易进出口收付汇业务办理手续和程序。银行为企业办理收付汇时所需单证和办理流程均大幅简化。</w:t>
      </w:r>
    </w:p>
    <w:p>
      <w:hyperlink r:id="rId25">
        <w:r>
          <w:rPr>
            <w:rStyle w:val="Link"/>
          </w:rPr>
          <w:t xml:space="preserve">来源</w:t>
        </w:r>
      </w:hyperlink>
    </w:p>
    <w:p>
      <w:pPr>
        <w:pStyle w:val="Heading3"/>
      </w:pPr>
      <w:bookmarkStart w:id="26" w:name="首次设专章规定基金服务机构"/>
      <w:bookmarkEnd w:id="26"/>
      <w:r>
        <w:t xml:space="preserve">首次设专章规定基金服务机构</w:t>
      </w:r>
    </w:p>
    <w:p>
      <w:r>
        <w:t xml:space="preserve">证券投资基金法修订草案设立专章规定基金服务机构的相关内容。</w:t>
      </w:r>
    </w:p>
    <w:p>
      <w:r>
        <w:t xml:space="preserve">由于现行法律对基金销售机构、基金份额登记机构、基金估值服务机构等服务机构缺乏详细规定，难以适应基金业快速发展的需要。因此，修订草案设立专章规定基金服务机构很有必要。</w:t>
      </w:r>
    </w:p>
    <w:p>
      <w:r>
        <w:t xml:space="preserve">本章着重对基金销售、基金销售支付、基金份额登记、基金估值服务、基金投资顾问、基金评价、信息技术系统服务等相关服务业务作了明确规定。要求 这些服务业务应当经国务院证券监督管理机构注册或者备案。并要求基金销售机构应当向投资人充分揭示投资风险，并根据基金投资人的风险承受能力销售不同风险等级的基金产品，履行客户身份识别等反洗钱义务。</w:t>
      </w:r>
    </w:p>
    <w:p>
      <w:r>
        <w:t xml:space="preserve">修订草案还规定了基金销售机构、基金销售支付机构、基金份额登记机构应当确保基金销售结算资金的安全、独立，禁止任何单位或者个人以任何形式挪用基金销售结算资金和基金份额。</w:t>
      </w:r>
    </w:p>
    <w:p>
      <w:hyperlink r:id="rId27">
        <w:r>
          <w:rPr>
            <w:rStyle w:val="Link"/>
          </w:rPr>
          <w:t xml:space="preserve">来源</w:t>
        </w:r>
      </w:hyperlink>
    </w:p>
    <w:p>
      <w:pPr>
        <w:pStyle w:val="Heading3"/>
      </w:pPr>
      <w:bookmarkStart w:id="28" w:name="禁止基金管理人从事内幕交易"/>
      <w:bookmarkEnd w:id="28"/>
      <w:r>
        <w:t xml:space="preserve">禁止基金管理人从事内幕交易</w:t>
      </w:r>
    </w:p>
    <w:p>
      <w:r>
        <w:t xml:space="preserve">证券投资基金法修订草案根据目前公开募集基金运行情况和存在问题，对有关规定也作了相应调整。</w:t>
      </w:r>
    </w:p>
    <w:p>
      <w:r>
        <w:t xml:space="preserve">修订草案参照证券法的规定，将基金管理人的股东及其实际控制人纳入监管范围。明确基金管理人及其从业人员禁止从事内幕交易、利益输送,禁止虚假出资或者为他人代持股权、抽逃出资等规定。</w:t>
      </w:r>
    </w:p>
    <w:p>
      <w:r>
        <w:t xml:space="preserve">基金管理公司股东及其实际控制人有上述行为或者股东不再符合法定条件的，国务院证券监督管理机构应当责令其限期改正，并可视情节，责令其转让所持有或者控制的基金管理公司股权。基金管理公司违法经营或者出现重大风险，严重危害证券市场秩序、损害基金份额持有人利益的，国务院证券监督管理机构可以对该基金管理公司采取责令停业整顿、指定其他机构托管、接管或者撤销等监管措施。</w:t>
      </w:r>
    </w:p>
    <w:p>
      <w:hyperlink r:id="rId29">
        <w:r>
          <w:rPr>
            <w:rStyle w:val="Link"/>
          </w:rPr>
          <w:t xml:space="preserve">来源</w:t>
        </w:r>
      </w:hyperlink>
    </w:p>
    <w:p>
      <w:pPr>
        <w:pStyle w:val="Heading3"/>
      </w:pPr>
      <w:bookmarkStart w:id="30" w:name="私募基金将纳入监管范围"/>
      <w:bookmarkEnd w:id="30"/>
      <w:r>
        <w:t xml:space="preserve">私募基金将纳入监管范围</w:t>
      </w:r>
    </w:p>
    <w:p>
      <w:r>
        <w:t xml:space="preserve">《中华人民共和国证券投资基金法（修订草案）》提请十一届全国人大常委会第二十七次会议审议。截至2011年底，全国69家基金管理公司管理的基金资产净值总规模2.2万亿元。证券投资基金已成为证券市场最重要的机构投资者，社会影响力和市场影响力日益扩大。但是现行证券投资基金法已不能完全适应市场发展和基金监管的需要，有必要作出修订。为规范基金业，特别是非公开募集基金的设立与投资运作，遏制各种名目的非法集资，加强基金业监管，加大基金投资者权益保护力度，促进基金业的健康发展，草案拟对证券基金法在四个方面作出修订：</w:t>
      </w:r>
    </w:p>
    <w:p>
      <w:pPr>
        <w:numPr>
          <w:numId w:val="1001"/>
          <w:ilvl w:val="0"/>
        </w:numPr>
      </w:pPr>
      <w:r>
        <w:t xml:space="preserve">将非公开募集基金纳入调整范围；</w:t>
      </w:r>
    </w:p>
    <w:p>
      <w:pPr>
        <w:numPr>
          <w:numId w:val="1001"/>
          <w:ilvl w:val="0"/>
        </w:numPr>
      </w:pPr>
      <w:r>
        <w:t xml:space="preserve">适当降低持有人大会召开的门槛；</w:t>
      </w:r>
    </w:p>
    <w:p>
      <w:pPr>
        <w:numPr>
          <w:numId w:val="1001"/>
          <w:ilvl w:val="0"/>
        </w:numPr>
      </w:pPr>
      <w:r>
        <w:t xml:space="preserve">将基金管理人的股东及其实际控制人纳入监管范围；及</w:t>
      </w:r>
    </w:p>
    <w:p>
      <w:pPr>
        <w:numPr>
          <w:numId w:val="1001"/>
          <w:ilvl w:val="0"/>
        </w:numPr>
      </w:pPr>
      <w:r>
        <w:t xml:space="preserve">增加对基金服务机构的规定</w:t>
      </w:r>
    </w:p>
    <w:p>
      <w:hyperlink r:id="rId31">
        <w:r>
          <w:rPr>
            <w:rStyle w:val="Link"/>
          </w:rPr>
          <w:t xml:space="preserve">来源</w:t>
        </w:r>
      </w:hyperlink>
    </w:p>
    <w:p>
      <w:pPr>
        <w:pStyle w:val="Heading2"/>
      </w:pPr>
      <w:bookmarkStart w:id="32" w:name="并购"/>
      <w:bookmarkEnd w:id="32"/>
      <w:r>
        <w:t xml:space="preserve">并购</w:t>
      </w:r>
    </w:p>
    <w:p>
      <w:pPr>
        <w:pStyle w:val="Heading3"/>
      </w:pPr>
      <w:bookmarkStart w:id="33" w:name="关于附加限制性条件批准沃尔玛公司收购纽海控股33.6股权经营者集中反垄断审查决定的公告"/>
      <w:bookmarkEnd w:id="33"/>
      <w:r>
        <w:t xml:space="preserve">关于附加限制性条件批准沃尔玛公司收购纽海控股33.6%股权经营者集中反垄断审查决定的公告</w:t>
      </w:r>
    </w:p>
    <w:p>
      <w:r>
        <w:t xml:space="preserve">根据《反垄断法》第二十七条，商务部对此项经营者集中进行了综合评估，经审查，商务部认为沃尔玛公司通过收购纽海控股33.6%股权，取得对益实多1号店网上直销业务的控制权可能具有排除、限制竞争效果。</w:t>
      </w:r>
    </w:p>
    <w:p>
      <w:r>
        <w:t xml:space="preserve">在审查期间，沃尔玛公司向商务部提交了解决竞争问题的最终承诺。经评估，商务部认为，该承诺能够减少此项集中对市场竞争可能产生的不利影响。根据沃尔玛公司向商务部作出的承诺，商务部决定附加限制性条件批准此项集中。</w:t>
      </w:r>
    </w:p>
    <w:p>
      <w:hyperlink r:id="rId34">
        <w:r>
          <w:rPr>
            <w:rStyle w:val="Link"/>
          </w:rPr>
          <w:t xml:space="preserve">来源</w:t>
        </w:r>
      </w:hyperlink>
    </w:p>
    <w:p>
      <w:pPr>
        <w:pStyle w:val="Heading2"/>
      </w:pPr>
      <w:bookmarkStart w:id="35" w:name="知识产权"/>
      <w:bookmarkEnd w:id="35"/>
      <w:r>
        <w:t xml:space="preserve">知识产权</w:t>
      </w:r>
    </w:p>
    <w:p>
      <w:pPr>
        <w:pStyle w:val="Heading3"/>
      </w:pPr>
      <w:bookmarkStart w:id="36" w:name="苹果电脑将会为专利权申索而面临新的法律诉讼"/>
      <w:bookmarkEnd w:id="36"/>
      <w:r>
        <w:t xml:space="preserve">苹果电脑将会为专利权申索而面临新的法律诉讼</w:t>
      </w:r>
    </w:p>
    <w:p>
      <w:r>
        <w:t xml:space="preserve">报告指苹果电脑的 ”FaceTime” 软件有可能侵犯了知识产权 。最近几星期，苹果电脑高调地处理有关其”iPad” 产品的商标紏纷。今天，苹果电脑正要面对一名台湾李姓男子对其向”FaceTime” 涉嫌侵权的法律诉讼。镇江中级人民法院受理此案。诉讼要求苹果电脑停止侵权行为但没有提及赔偿金额。</w:t>
      </w:r>
    </w:p>
    <w:p>
      <w:hyperlink r:id="rId37">
        <w:r>
          <w:rPr>
            <w:rStyle w:val="Link"/>
          </w:rPr>
          <w:t xml:space="preserve">来源</w:t>
        </w:r>
      </w:hyperlink>
      <w:r>
        <w:t xml:space="preserve"> </w:t>
      </w:r>
      <w:r>
        <w:t xml:space="preserve">(英语)</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8">
        <w:r>
          <w:rPr>
            <w:rStyle w:val="Link"/>
          </w:rPr>
          <w:t xml:space="preserve">unsubscribe@charltonslaw.com</w:t>
        </w:r>
      </w:hyperlink>
    </w:p>
    <w:p>
      <w:r>
        <w:rPr>
          <w:b/>
        </w:rPr>
        <w:t xml:space="preserve">易周律师行 - 法讯 - 中国 - 第360期 - 2012年08月30日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46c451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a46b05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finance.people.com.cn/n/2012/0801/c1004-18643846.html" TargetMode="External" /><Relationship Type="http://schemas.openxmlformats.org/officeDocument/2006/relationships/hyperlink" Id="rId34" Target="http://fldj.mofcom.gov.cn/aarticle/zcfb/201208/20120808284410.html?2621788311=924489434" TargetMode="External" /><Relationship Type="http://schemas.openxmlformats.org/officeDocument/2006/relationships/hyperlink" Id="rId21" Target="http://www.charltonslaw.com.cn/china-news-alerts-cn-issue-360/" TargetMode="External" /><Relationship Type="http://schemas.openxmlformats.org/officeDocument/2006/relationships/hyperlink" Id="rId37" Target="http://www.chinaipr.gov.cn/newsarticle/news/enterprise/201208/1678686_1.html" TargetMode="External" /><Relationship Type="http://schemas.openxmlformats.org/officeDocument/2006/relationships/hyperlink" Id="rId31" Target="http://www.npc.gov.cn/huiyi/cwh/1127/2012-06/27/content_1726655.htm" TargetMode="External" /><Relationship Type="http://schemas.openxmlformats.org/officeDocument/2006/relationships/hyperlink" Id="rId29" Target="http://www.npc.gov.cn/huiyi/lfzt/zqtzjjfxdca/2012-06/27/content_1726887.htm" TargetMode="External" /><Relationship Type="http://schemas.openxmlformats.org/officeDocument/2006/relationships/hyperlink" Id="rId27" Target="http://www.npc.gov.cn/huiyi/lfzt/zqtzjjfxdca/2012-06/27/content_1726888.htm" TargetMode="External" /><Relationship Type="http://schemas.openxmlformats.org/officeDocument/2006/relationships/hyperlink" Id="rId3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5" Target="http://finance.people.com.cn/n/2012/0801/c1004-18643846.html" TargetMode="External" /><Relationship Type="http://schemas.openxmlformats.org/officeDocument/2006/relationships/hyperlink" Id="rId34" Target="http://fldj.mofcom.gov.cn/aarticle/zcfb/201208/20120808284410.html?2621788311=924489434" TargetMode="External" /><Relationship Type="http://schemas.openxmlformats.org/officeDocument/2006/relationships/hyperlink" Id="rId21" Target="http://www.charltonslaw.com.cn/china-news-alerts-cn-issue-360/" TargetMode="External" /><Relationship Type="http://schemas.openxmlformats.org/officeDocument/2006/relationships/hyperlink" Id="rId37" Target="http://www.chinaipr.gov.cn/newsarticle/news/enterprise/201208/1678686_1.html" TargetMode="External" /><Relationship Type="http://schemas.openxmlformats.org/officeDocument/2006/relationships/hyperlink" Id="rId31" Target="http://www.npc.gov.cn/huiyi/cwh/1127/2012-06/27/content_1726655.htm" TargetMode="External" /><Relationship Type="http://schemas.openxmlformats.org/officeDocument/2006/relationships/hyperlink" Id="rId29" Target="http://www.npc.gov.cn/huiyi/lfzt/zqtzjjfxdca/2012-06/27/content_1726887.htm" TargetMode="External" /><Relationship Type="http://schemas.openxmlformats.org/officeDocument/2006/relationships/hyperlink" Id="rId27" Target="http://www.npc.gov.cn/huiyi/lfzt/zqtzjjfxdca/2012-06/27/content_1726888.htm" TargetMode="External" /><Relationship Type="http://schemas.openxmlformats.org/officeDocument/2006/relationships/hyperlink" Id="rId3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第360期 - 2012年08月30日</dc:title>
  <dc:creator/>
</cp:coreProperties>
</file>