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第361期</w:t>
      </w:r>
      <w:r>
        <w:t xml:space="preserve"> </w:t>
      </w:r>
      <w:r>
        <w:t xml:space="preserve">-</w:t>
      </w:r>
      <w:r>
        <w:t xml:space="preserve"> </w:t>
      </w:r>
      <w:r>
        <w:t xml:space="preserve">2013年07月15日</w:t>
      </w:r>
    </w:p>
    <w:p>
      <w:hyperlink r:id="rId21">
        <w:r>
          <w:rPr>
            <w:rStyle w:val="Link"/>
          </w:rPr>
          <w:t xml:space="preserve">网络版</w:t>
        </w:r>
      </w:hyperlink>
    </w:p>
    <w:p>
      <w:pPr>
        <w:pStyle w:val="Heading1"/>
      </w:pPr>
      <w:bookmarkStart w:id="22" w:name="法讯中国第361期"/>
      <w:bookmarkEnd w:id="22"/>
      <w:r>
        <w:t xml:space="preserve">法讯中国第361期</w:t>
      </w:r>
    </w:p>
    <w:p>
      <w:pPr>
        <w:pStyle w:val="Heading2"/>
      </w:pPr>
      <w:bookmarkStart w:id="23" w:name="资本市场"/>
      <w:bookmarkEnd w:id="23"/>
      <w:r>
        <w:t xml:space="preserve">资本市场</w:t>
      </w:r>
    </w:p>
    <w:p>
      <w:pPr>
        <w:pStyle w:val="Heading3"/>
      </w:pPr>
      <w:bookmarkStart w:id="24" w:name="中国证监会支持符合条件的企业到境外上市"/>
      <w:bookmarkEnd w:id="24"/>
      <w:r>
        <w:t xml:space="preserve">中国证监会支持符合条件的企业到境外上市</w:t>
      </w:r>
    </w:p>
    <w:p>
      <w:r>
        <w:t xml:space="preserve">2013年7月12日，中国证监会召开新闻发布会，对近期市场热点问题答记者问。其中针对重庆银行和徽商银行是否已向证监会提交了赴港上市申请的问题，证监会发言人答复：“境内企业只要符合境外上市地的上市条件，不违反国家产业政策及外资准入政策，均可在研究形成境外上市方案基础上自主向我会提出境外上市申请。我会将依法做好相应的服务工作，为促进相关企业的持续健康发展提供金融支持。”</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助推资本项目开放-央行简化跨境人民币业务流程"/>
      <w:bookmarkEnd w:id="27"/>
      <w:r>
        <w:t xml:space="preserve">助推资本项目开放 央行简化跨境人民币业务流程</w:t>
      </w:r>
    </w:p>
    <w:p>
      <w:r>
        <w:t xml:space="preserve">2013年7月5日，中国人民银行发布《关于简化跨境人民币业务流程和完善有关政策的通知》（下称《通知》）。《通知》指出，简化跨境人民币业务流程包括经常项下跨境人民币结算业务、银行卡人民币帐户跨境清算业务、境内非金融机构人民币境外放款业务以及境内非金融机构境外发行人民币债券四个方面。简化跨境人民币业务流程，有利于人民币的跨境双向流动，推动人民币国际化，也在一定程度上助推了资本项目的开放。</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把脉金十条-信托业未来发展呈四大趋势"/>
      <w:bookmarkEnd w:id="30"/>
      <w:r>
        <w:t xml:space="preserve">把脉“金十条” 信托业未来发展呈四大趋势</w:t>
      </w:r>
    </w:p>
    <w:p>
      <w:r>
        <w:t xml:space="preserve">2013年7月5日，国务院发布国办发〔2013〕67号文《国务院办公厅关于金融支持经济结构调整和转型升级的指导意见》（以下简称“金十条”）。包括下列十项内容：1、继续执行稳健的货币政策，合理保持货币信贷总量；2、引导、推动重点领域与行业转型和调整；3、整合金融资源支持小微企业发展；4、加大对“三农”领域的信贷支持力度；5、进一步发展消费金融促进消费升级；6、支持企业“走出去”；7、加快发展多层次资本市场；8、进一步发挥保险的保障作用；9、扩大民间资本进入金融业；10、严密防范金融风险。</w:t>
      </w:r>
    </w:p>
    <w:p>
      <w:r>
        <w:t xml:space="preserve">“金十条”中对于信托业的改革发展并没有直接提及，但从“金十条”对社会融资结构转型的诸多指导意见中，依然能寻得清晰脉络。在迈入10万亿规模的关键时刻，信托业的战略布局与战略转型已刻不容缓。一头是料将扩容的融资需求，一头是受限的募资管道，信托机构要想破局只有两种方式可选：一是加强除银行之外的同业合作，另一个就是自力更生拓展直销管道。</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上半年中国跨境并购-逆市暴增七成"/>
      <w:bookmarkEnd w:id="33"/>
      <w:r>
        <w:t xml:space="preserve">上半年中国跨境并购 逆市暴增七成</w:t>
      </w:r>
    </w:p>
    <w:p>
      <w:r>
        <w:t xml:space="preserve">在全球并购市场萎缩至2009年以来最低水准之际，2013年上半年中国海外并购金额却逆市暴增，同比增幅高达70%。</w:t>
      </w:r>
    </w:p>
    <w:p>
      <w:r>
        <w:t xml:space="preserve">根据并购市场信息商Merger market7月9日报告显示，2013年上半年，中国及香港地区跨境投资金额高达373亿美元，Merger market分析人士表示，在全球并购萎缩的背景下，今年上半年中国及香港地区跨境并购的增长速度是在有记录以来增长最快的。</w:t>
      </w:r>
    </w:p>
    <w:p>
      <w:r>
        <w:t xml:space="preserve">[来源](http://epaper.21cbh.com/html/2013-07/10/content_70595.htm?div=-1 (</w:t>
      </w:r>
      <w:hyperlink r:id="rId34">
        <w:r>
          <w:rPr>
            <w:rStyle w:val="Link"/>
          </w:rPr>
          <w:t xml:space="preserve">副本</w:t>
        </w:r>
      </w:hyperlink>
      <w:r>
        <w:t xml:space="preserve">)</w:t>
      </w:r>
    </w:p>
    <w:p>
      <w:pPr>
        <w:pStyle w:val="Heading2"/>
      </w:pPr>
      <w:bookmarkStart w:id="35" w:name="外商投资"/>
      <w:bookmarkEnd w:id="35"/>
      <w:r>
        <w:t xml:space="preserve">外商投资</w:t>
      </w:r>
    </w:p>
    <w:p>
      <w:pPr>
        <w:pStyle w:val="Heading3"/>
      </w:pPr>
      <w:bookmarkStart w:id="36" w:name="qfii额度增加至1500亿美元-rqfii试点在新加坡伦敦等地进一步拓展"/>
      <w:bookmarkEnd w:id="36"/>
      <w:r>
        <w:t xml:space="preserve">QFII额度增加至1500亿美元 RQFII试点在新加坡、伦敦等地进一步拓展</w:t>
      </w:r>
    </w:p>
    <w:p>
      <w:r>
        <w:t xml:space="preserve">2013年7月12日，中国证监会发布了关于增加QFII额度及扩大RQFII试点国家的消息。</w:t>
      </w:r>
    </w:p>
    <w:p>
      <w:r>
        <w:t xml:space="preserve">中国证监会、中国人民银行及国家外汇管理局决定将合格境外机构投资者（QFII）投资度从800亿美元增加到1500亿美元，并将人民币合格境外机构投资者（RQFII）试点在新加坡、伦敦等地进一步拓展。</w:t>
      </w:r>
    </w:p>
    <w:p>
      <w:r>
        <w:t xml:space="preserve">QFII制度自2002年试点实施以来，运作情况平稳，对于壮大机构投资者规模、增加长期资金来源、引入长期投资和价值投资理念、扩大资本市场对外开放发挥了积极作用。此次QFII总投资额度进一步扩大到1500亿美元，将有利于吸引更多境外长期投资机构进入，促进资本市场改革发展。RQFII制度于2011年底推出试点，为境外投资者开辟了进入境内资本市场的新管道。对台湾地区、新加坡、伦敦等地金融机构参与RQFII试点，将参照现有香港金融机构参与RQFII试点相关法规实施。</w:t>
      </w:r>
    </w:p>
    <w:p>
      <w:r>
        <w:t xml:space="preserve">中国证监会表示未来将进一步加快QFII、RQFII发展，与相关部门加强协商，完善境外投资者的资金汇出入管理、所得税政策等相关制度，吸引更多境外长期资金，促进资本市场改革发展，更好地服务我国经济结构调整和转型升级。</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放宽香港金融机构进驻前海条件"/>
      <w:bookmarkEnd w:id="39"/>
      <w:r>
        <w:t xml:space="preserve">放宽香港金融机构进驻前海条件</w:t>
      </w:r>
    </w:p>
    <w:p>
      <w:r>
        <w:t xml:space="preserve">2013年7月10日，由香港金融发展局主办的“前海金融发展的机遇与挑战研讨会”在香港会展中心举行。深圳金融办主任肖亚非在研讨会上表示，前海是新时期深港金融合作的核心载体，要积极引进香港金融机构在前海设立国际性业务总部或者管理总部，以带动前海的金融创新。有关部门目前正在研究参照对台资的开放史，考虑设立2家港资持股全牌照的证券公司；鼓励符合条件的香港保险经纪公司到前海设立保险代理公司。</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第七批支付牌照颁发-第三方支付机构向外资开放"/>
      <w:bookmarkEnd w:id="42"/>
      <w:r>
        <w:t xml:space="preserve">第七批支付牌照颁发 第三方支付机构向外资开放</w:t>
      </w:r>
    </w:p>
    <w:p>
      <w:r>
        <w:t xml:space="preserve">根据中国人民银行公布信息显示，于2013年7月6日发放了第七批支付牌照，共有27家公司中标。其中，在继阿里巴巴、腾讯、盛大和网易之后，新浪、百度旗下的北京新浪支付科技有限公司、北京百付宝科技有限公司在本轮发放中成为最新的两家拿到支付牌照的互联网公司。</w:t>
      </w:r>
    </w:p>
    <w:p>
      <w:r>
        <w:t xml:space="preserve">值得一提的是，在本次中标的27家公司中，首批两家纯外资的支付公司获得了支付业务许可，不过这两家支付公司均从事的是预付卡业务。一家公司为上海索迪斯万通服务有限公司，一家为艾登瑞德（中国）有限公司。由于预付卡市场仍然相对比较边缘，其自成一个发行与受理系统，也与此前争议的金融信息安全问题并不突出。上述两家外资公司获得预付卡的牌照，而不是互联网支付牌照，更多地被认为是央行在进行支付业的一个有步骤的开放。</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公司与商业"/>
      <w:bookmarkEnd w:id="45"/>
      <w:r>
        <w:t xml:space="preserve">公司与商业</w:t>
      </w:r>
    </w:p>
    <w:p>
      <w:pPr>
        <w:pStyle w:val="Heading3"/>
      </w:pPr>
      <w:bookmarkStart w:id="46" w:name="中央政府释放重大利好-2015年信息消费将超3万亿"/>
      <w:bookmarkEnd w:id="46"/>
      <w:r>
        <w:t xml:space="preserve">中央政府释放重大利好 2015年信息消费将超3万亿</w:t>
      </w:r>
    </w:p>
    <w:p>
      <w:r>
        <w:t xml:space="preserve">国务院总理李克强12日主持召开国务院常务会议，研究部署加快发展节能环保产业，促进信息消费，拉动国内有效需求，推动经济转型升级。根据政策目标，“十二五”后三年，我国信息消费规模年均增长20%以上。权威部门测算，到2015年，我国信息消费规模将超过3.2万亿元，成为我国信息产业发展和信息消费的重大利好。中央政府在我国经济转型发展的关键时刻，出台重大政策促进信息消费，不仅能够有效拉动需求，促进消费升级，更能够催生新的经济增长点，是既利当前又利长远、既推动产业转型和又利于民生改善，既稳增长又调结构。</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债券"/>
      <w:bookmarkEnd w:id="49"/>
      <w:r>
        <w:t xml:space="preserve">债券</w:t>
      </w:r>
    </w:p>
    <w:p>
      <w:pPr>
        <w:pStyle w:val="Heading3"/>
      </w:pPr>
      <w:bookmarkStart w:id="50" w:name="中资地产商青睐离岸人民币债券-上半年发债175亿"/>
      <w:bookmarkEnd w:id="50"/>
      <w:r>
        <w:t xml:space="preserve">中资地产商青睐离岸人民币债券 上半年发债175亿</w:t>
      </w:r>
    </w:p>
    <w:p>
      <w:r>
        <w:t xml:space="preserve">离岸人民币债券习惯又被称作“点心债”，其发行主体中国企占主要部分，但以中资地产开发商为代表的民营企业比例今年以来明显上升。房地产企业过去一直以美元债为融资主要管道，但今年上半年大量发行了点心债，发行总量达到175亿人民币，占点心债总发行量约24%。有分析人士认为，中资地产公司开始转发点心债，与今年年初市场对点心债需求突然升温有紧密关系。</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加强债市监管-禁止线下交易"/>
      <w:bookmarkEnd w:id="53"/>
      <w:r>
        <w:t xml:space="preserve">加强债市监管 禁止线下交易</w:t>
      </w:r>
    </w:p>
    <w:p>
      <w:r>
        <w:t xml:space="preserve">2013年7月9日，央行网站公布《中国人民银行公告(2013)第8号》(以下简称央行“8号文”)，规定债券交易必须通过同业拆借中心交易系统达成，也就是说，只要最后进行了实质性交易，系统都将有底可查。雁过留痕，直接打击了债券结算丙类账户(一般为非金融机构法人，不允许直接参与债券交易，必须通过甲类账户进行代理结算)。此前，债券市场上存在大量不经过同业拆借中心的线下交易，买卖机构自行达成交易协议，然后直接在作为交易后台的中央国债登记结算公司办理过户。这种线下交易无法被监控到，从而滋生关联交易和利益输送。今年上半年，债券市场案件频频爆发、一些丙类户利益输送显现。央行此次出台8号文在于加强债券市场的监管，打击的是游离于交易前台之外的“灰色”债券交易。</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税务"/>
      <w:bookmarkEnd w:id="56"/>
      <w:r>
        <w:t xml:space="preserve">税务</w:t>
      </w:r>
    </w:p>
    <w:p>
      <w:pPr>
        <w:pStyle w:val="Heading3"/>
      </w:pPr>
      <w:bookmarkStart w:id="57" w:name="国家税务总局制定双十条措施-转职能改作风"/>
      <w:bookmarkEnd w:id="57"/>
      <w:r>
        <w:t xml:space="preserve">国家税务总局制定“双十条”措施 转职能改作风</w:t>
      </w:r>
    </w:p>
    <w:p>
      <w:r>
        <w:t xml:space="preserve">国家税务总局深入贯彻落实国务院关于转变职能、改进作风的要求和李克强总理关于创新公共服务方式的指示，积极采取措施，努力做好为纳税人服务、为基层服务、为保障和改善民生及经济社会发展大局服务“三个服务”工作。日前，总局分别出台《关于转变职能改进作风更好为广大纳税人服务的公告》（以下简称《公告》）和《关于转变职能改进作风更好为基层服务的通知》（以下简称《通知》），分别制定了10条具体措施。《公告》围绕落实税收优惠政策、优化纳税服务、减轻纳税人负担、加强税收政策宣传、维护纳税人合法权益等方面细化了10条具体措施。《通知》围绕简政放权、落实调研制度、简化评比考核、规范公务活动等方面，对总局和省级税务机关服务基层工作提出了10条明确的工作要求。</w:t>
      </w:r>
    </w:p>
    <w:p>
      <w:r>
        <w:t xml:space="preserve">“双十条”措施的出台，是国家税务总局落实党的群众路线教育实践活动的重要举措，也是进一步转变工作职能、改进工作作风的重要抓手。国家税务总局将进一步完善各项制度，细化措施，狠抓落实，自觉接受社会监督、纳税人监督、基层税务机关监督，努力提升服务能力、提升机关效能、提升部门形象，确保各项规定落到实处，促进全系统工作作风持续改进。</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国家税务总局严厉打击虚开发票骗税行为"/>
      <w:bookmarkEnd w:id="60"/>
      <w:r>
        <w:t xml:space="preserve">国家税务总局严厉打击虚开发票骗税行为</w:t>
      </w:r>
    </w:p>
    <w:p>
      <w:r>
        <w:t xml:space="preserve">企业营业税改增值税于2012年1月1日在上海市率先试点，随后北京、江苏、安徽等8省（市）分批开展试点。从2013年8月1日起，试点将在全国范围内推开。在试点过程中出现了一批虚开增值税专用发票违法企业。日前，税务总局正在全国范围集中开展专项整治工作，严厉打击“营改增”试点行业虚开增值税专用发票、骗取劳务出口和服务产业出口退税违法犯罪行为。这项专项整治工作主要针对“营改增”企业虚开增值税专用发票和骗取出口退税的涉税违法行为，整治重点是交通运输企业和货物运输代理服务企业，交通运输业以陆路和内河运输为主。专项整治工作重点检查企业提供应税服务的真实性，收入确认的完整性、准确性和及时性，进项税额的抵扣是否符合规定，差额征税项目在销售额中的扣除是否符合规定等。</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wto"/>
      <w:bookmarkEnd w:id="63"/>
      <w:r>
        <w:t xml:space="preserve">WTO</w:t>
      </w:r>
    </w:p>
    <w:p>
      <w:pPr>
        <w:pStyle w:val="Heading3"/>
      </w:pPr>
      <w:bookmarkStart w:id="64" w:name="中瑞签订中华人民共和国和瑞士联邦自由贸易协议"/>
      <w:bookmarkEnd w:id="64"/>
      <w:r>
        <w:t xml:space="preserve">中瑞签订《中华人民共和国和瑞士联邦自由贸易协议》</w:t>
      </w:r>
    </w:p>
    <w:p>
      <w:r>
        <w:t xml:space="preserve">2013年7月6日，中国商务部部长高虎城与瑞士联邦委员兼经济部长施耐德-阿曼在北京签署了《中华人民共和国和瑞士联邦自由贸易协议》。高虎城表示，中瑞自贸协议是中国与欧洲大陆国家签署的首个自贸协议，充分体现了中国政府继续扩大对外开放的决心和信心，显示了中国与包括瑞士在内的欧洲国家进一步发展经贸关系的良好愿望。在全球经济发展持续低迷，贸易保护主义有所抬头的情况下，中瑞签署自贸协议，还体现了双方共同反对贸易保护主义、促进世界自由贸易发展的决心和信心。中国政府将以中瑞自贸协议的达成为契机，加快实施自贸区战略，以更加开放的姿态参与国际经济合作，进一步推动中瑞、中欧之间互利共赢、共同发展。</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其它"/>
      <w:bookmarkEnd w:id="67"/>
      <w:r>
        <w:t xml:space="preserve">其它</w:t>
      </w:r>
    </w:p>
    <w:p>
      <w:pPr>
        <w:pStyle w:val="Heading3"/>
      </w:pPr>
      <w:bookmarkStart w:id="68" w:name="葛兰素史克在华涉嫌经济犯罪"/>
      <w:bookmarkEnd w:id="68"/>
      <w:r>
        <w:t xml:space="preserve">葛兰素史克在华涉嫌经济犯罪</w:t>
      </w:r>
    </w:p>
    <w:p>
      <w:r>
        <w:t xml:space="preserve">2013年7月11日，中国公安部发布通报“因涉嫌严重经济犯罪，葛兰素史克（中国）投资有限公司部分高管被公安机关立案侦查”。</w:t>
      </w:r>
    </w:p>
    <w:p>
      <w:r>
        <w:t xml:space="preserve">通报显示，日前，公安部统一组织指挥湖南长沙、上海和河南郑州等地公安机关对葛兰素史克（中国）投资有限公司部分高管涉嫌严重经济犯罪依法立案侦查。现有证据充分证明，葛兰素史克（中国）投资有限公司部分高管和相关旅行社的部分高层人员已涉嫌严重商业贿赂和涉税犯罪。此外，公安机关还查明，葛兰素史克（中国）投资有限公司部分高管涉嫌利用职务之便，通过旅行社以提取会议业务回扣、接受项目好处费等形式大肆收受贿赂。</w:t>
      </w:r>
    </w:p>
    <w:p>
      <w:r>
        <w:t xml:space="preserve">目前，公安机关已对葛兰素史克（中国）投资有限公司和相关旅行社涉案犯罪嫌疑人依法采取刑事强制措施。经初步审讯，犯罪嫌疑人对犯罪事实供认不讳。案件仍在进一步侦办中。</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中国反垄断法亮出利刃-严查洋奶粉事件"/>
      <w:bookmarkEnd w:id="71"/>
      <w:r>
        <w:t xml:space="preserve">中国反垄断法亮出利刃 严查洋奶粉事件</w:t>
      </w:r>
    </w:p>
    <w:p>
      <w:r>
        <w:t xml:space="preserve">中国第一部反垄断法实行还不到五年，但已经有力地让市场感受到了它的存在。在中国监管机构对婴儿奶粉市场中可能存在的垄断行为发起调查后，本周，达能(Danone)和雀巢(Nestlé)同意下调在华销售的配方奶粉价格。真正的问题在于，这些调查是否标志着中国将开始对在华经营的跨国企业激活大规模反垄断行动。</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第361期 - 2013年07月15日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9b8249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4" Target="1_4.pdf" TargetMode="External" /><Relationship Type="http://schemas.openxmlformats.org/officeDocument/2006/relationships/hyperlink" Id="rId38" Target="2_1.pdf" TargetMode="External" /><Relationship Type="http://schemas.openxmlformats.org/officeDocument/2006/relationships/hyperlink" Id="rId41" Target="2_2.pdf" TargetMode="External" /><Relationship Type="http://schemas.openxmlformats.org/officeDocument/2006/relationships/hyperlink" Id="rId44" Target="2_3.pdf" TargetMode="External" /><Relationship Type="http://schemas.openxmlformats.org/officeDocument/2006/relationships/hyperlink" Id="rId48" Target="3_1.pdf" TargetMode="External" /><Relationship Type="http://schemas.openxmlformats.org/officeDocument/2006/relationships/hyperlink" Id="rId52" Target="4_1.pdf" TargetMode="External" /><Relationship Type="http://schemas.openxmlformats.org/officeDocument/2006/relationships/hyperlink" Id="rId55" Target="4_2.pdf" TargetMode="External" /><Relationship Type="http://schemas.openxmlformats.org/officeDocument/2006/relationships/hyperlink" Id="rId59" Target="5_1.pdf" TargetMode="External" /><Relationship Type="http://schemas.openxmlformats.org/officeDocument/2006/relationships/hyperlink" Id="rId62" Target="5_2.pdf" TargetMode="External" /><Relationship Type="http://schemas.openxmlformats.org/officeDocument/2006/relationships/hyperlink" Id="rId66" Target="6_1.pdf" TargetMode="External" /><Relationship Type="http://schemas.openxmlformats.org/officeDocument/2006/relationships/hyperlink" Id="rId70" Target="7_1.pdf" TargetMode="External" /><Relationship Type="http://schemas.openxmlformats.org/officeDocument/2006/relationships/hyperlink" Id="rId73" Target="7_2.pdf" TargetMode="External" /><Relationship Type="http://schemas.openxmlformats.org/officeDocument/2006/relationships/hyperlink" Id="rId43" Target="http://bank.hexun.com/2013-07-11/156010933.html" TargetMode="External" /><Relationship Type="http://schemas.openxmlformats.org/officeDocument/2006/relationships/hyperlink" Id="rId47" Target="http://finance.sina.com.cn/chanjing/cyxw/20130714/181116117063.shtml" TargetMode="External" /><Relationship Type="http://schemas.openxmlformats.org/officeDocument/2006/relationships/hyperlink" Id="rId54" Target="http://finance.sina.com.cn/china/hgjj/20130713/160916114142.shtml" TargetMode="External" /><Relationship Type="http://schemas.openxmlformats.org/officeDocument/2006/relationships/hyperlink" Id="rId69" Target="http://finance.sina.com.cn/focus/glskbtc/index.shtml" TargetMode="External" /><Relationship Type="http://schemas.openxmlformats.org/officeDocument/2006/relationships/hyperlink" Id="rId40" Target="http://news.xinhuanet.com/fortune/2013-07/11/c_124989629.htm" TargetMode="External" /><Relationship Type="http://schemas.openxmlformats.org/officeDocument/2006/relationships/hyperlink" Id="rId31" Target="http://www.21cbh.com/2013/xintuo_711/720909.html" TargetMode="External" /><Relationship Type="http://schemas.openxmlformats.org/officeDocument/2006/relationships/hyperlink" Id="rId51" Target="http://www.ccstock.cn/finace/house/2013-07-13/A1255028.html" TargetMode="External" /><Relationship Type="http://schemas.openxmlformats.org/officeDocument/2006/relationships/hyperlink" Id="rId21" Target="http://www.charltonslaw.com.cn/china-news-alerts-cn-issue-361/" TargetMode="External" /><Relationship Type="http://schemas.openxmlformats.org/officeDocument/2006/relationships/hyperlink" Id="rId61" Target="http://www.chinatax.gov.cn/n8136506/n8136608/n9948163/12340827.html" TargetMode="External" /><Relationship Type="http://schemas.openxmlformats.org/officeDocument/2006/relationships/hyperlink" Id="rId58" Target="http://www.chinatax.gov.cn/n8136506/n8136608/n9948163/12342089.html" TargetMode="External" /><Relationship Type="http://schemas.openxmlformats.org/officeDocument/2006/relationships/hyperlink" Id="rId37" Target="http://www.csrc.gov.cn/pub/newsite/bgt/xwdd/201307/t20130712_230675.htm" TargetMode="External" /><Relationship Type="http://schemas.openxmlformats.org/officeDocument/2006/relationships/hyperlink" Id="rId25" Target="http://www.csrc.gov.cn/pub/newsite/bgt/xwfbh/201307/t20130712_230770.htm" TargetMode="External" /><Relationship Type="http://schemas.openxmlformats.org/officeDocument/2006/relationships/hyperlink" Id="rId72" Target="http://www.ftchinese.com/story/001051280" TargetMode="External" /><Relationship Type="http://schemas.openxmlformats.org/officeDocument/2006/relationships/hyperlink" Id="rId65" Target="http://www.mofcom.gov.cn/article/ae/ai/201307/20130700189256.shtml" TargetMode="External" /><Relationship Type="http://schemas.openxmlformats.org/officeDocument/2006/relationships/hyperlink" Id="rId28" Target="http://www.yicai.com/news/2013/07/2849878.html"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4" Target="1_4.pdf" TargetMode="External" /><Relationship Type="http://schemas.openxmlformats.org/officeDocument/2006/relationships/hyperlink" Id="rId38" Target="2_1.pdf" TargetMode="External" /><Relationship Type="http://schemas.openxmlformats.org/officeDocument/2006/relationships/hyperlink" Id="rId41" Target="2_2.pdf" TargetMode="External" /><Relationship Type="http://schemas.openxmlformats.org/officeDocument/2006/relationships/hyperlink" Id="rId44" Target="2_3.pdf" TargetMode="External" /><Relationship Type="http://schemas.openxmlformats.org/officeDocument/2006/relationships/hyperlink" Id="rId48" Target="3_1.pdf" TargetMode="External" /><Relationship Type="http://schemas.openxmlformats.org/officeDocument/2006/relationships/hyperlink" Id="rId52" Target="4_1.pdf" TargetMode="External" /><Relationship Type="http://schemas.openxmlformats.org/officeDocument/2006/relationships/hyperlink" Id="rId55" Target="4_2.pdf" TargetMode="External" /><Relationship Type="http://schemas.openxmlformats.org/officeDocument/2006/relationships/hyperlink" Id="rId59" Target="5_1.pdf" TargetMode="External" /><Relationship Type="http://schemas.openxmlformats.org/officeDocument/2006/relationships/hyperlink" Id="rId62" Target="5_2.pdf" TargetMode="External" /><Relationship Type="http://schemas.openxmlformats.org/officeDocument/2006/relationships/hyperlink" Id="rId66" Target="6_1.pdf" TargetMode="External" /><Relationship Type="http://schemas.openxmlformats.org/officeDocument/2006/relationships/hyperlink" Id="rId70" Target="7_1.pdf" TargetMode="External" /><Relationship Type="http://schemas.openxmlformats.org/officeDocument/2006/relationships/hyperlink" Id="rId73" Target="7_2.pdf" TargetMode="External" /><Relationship Type="http://schemas.openxmlformats.org/officeDocument/2006/relationships/hyperlink" Id="rId43" Target="http://bank.hexun.com/2013-07-11/156010933.html" TargetMode="External" /><Relationship Type="http://schemas.openxmlformats.org/officeDocument/2006/relationships/hyperlink" Id="rId47" Target="http://finance.sina.com.cn/chanjing/cyxw/20130714/181116117063.shtml" TargetMode="External" /><Relationship Type="http://schemas.openxmlformats.org/officeDocument/2006/relationships/hyperlink" Id="rId54" Target="http://finance.sina.com.cn/china/hgjj/20130713/160916114142.shtml" TargetMode="External" /><Relationship Type="http://schemas.openxmlformats.org/officeDocument/2006/relationships/hyperlink" Id="rId69" Target="http://finance.sina.com.cn/focus/glskbtc/index.shtml" TargetMode="External" /><Relationship Type="http://schemas.openxmlformats.org/officeDocument/2006/relationships/hyperlink" Id="rId40" Target="http://news.xinhuanet.com/fortune/2013-07/11/c_124989629.htm" TargetMode="External" /><Relationship Type="http://schemas.openxmlformats.org/officeDocument/2006/relationships/hyperlink" Id="rId31" Target="http://www.21cbh.com/2013/xintuo_711/720909.html" TargetMode="External" /><Relationship Type="http://schemas.openxmlformats.org/officeDocument/2006/relationships/hyperlink" Id="rId51" Target="http://www.ccstock.cn/finace/house/2013-07-13/A1255028.html" TargetMode="External" /><Relationship Type="http://schemas.openxmlformats.org/officeDocument/2006/relationships/hyperlink" Id="rId21" Target="http://www.charltonslaw.com.cn/china-news-alerts-cn-issue-361/" TargetMode="External" /><Relationship Type="http://schemas.openxmlformats.org/officeDocument/2006/relationships/hyperlink" Id="rId61" Target="http://www.chinatax.gov.cn/n8136506/n8136608/n9948163/12340827.html" TargetMode="External" /><Relationship Type="http://schemas.openxmlformats.org/officeDocument/2006/relationships/hyperlink" Id="rId58" Target="http://www.chinatax.gov.cn/n8136506/n8136608/n9948163/12342089.html" TargetMode="External" /><Relationship Type="http://schemas.openxmlformats.org/officeDocument/2006/relationships/hyperlink" Id="rId37" Target="http://www.csrc.gov.cn/pub/newsite/bgt/xwdd/201307/t20130712_230675.htm" TargetMode="External" /><Relationship Type="http://schemas.openxmlformats.org/officeDocument/2006/relationships/hyperlink" Id="rId25" Target="http://www.csrc.gov.cn/pub/newsite/bgt/xwfbh/201307/t20130712_230770.htm" TargetMode="External" /><Relationship Type="http://schemas.openxmlformats.org/officeDocument/2006/relationships/hyperlink" Id="rId72" Target="http://www.ftchinese.com/story/001051280" TargetMode="External" /><Relationship Type="http://schemas.openxmlformats.org/officeDocument/2006/relationships/hyperlink" Id="rId65" Target="http://www.mofcom.gov.cn/article/ae/ai/201307/20130700189256.shtml" TargetMode="External" /><Relationship Type="http://schemas.openxmlformats.org/officeDocument/2006/relationships/hyperlink" Id="rId28" Target="http://www.yicai.com/news/2013/07/2849878.html"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第361期 - 2013年07月15日</dc:title>
  <dc:creator/>
</cp:coreProperties>
</file>