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第366期</w:t>
      </w:r>
      <w:r>
        <w:t xml:space="preserve"> </w:t>
      </w:r>
      <w:r>
        <w:t xml:space="preserve">-</w:t>
      </w:r>
      <w:r>
        <w:t xml:space="preserve"> </w:t>
      </w:r>
      <w:r>
        <w:t xml:space="preserve">2013年08月09日</w:t>
      </w:r>
    </w:p>
    <w:p>
      <w:hyperlink r:id="rId21">
        <w:r>
          <w:rPr>
            <w:rStyle w:val="Link"/>
          </w:rPr>
          <w:t xml:space="preserve">网络版</w:t>
        </w:r>
      </w:hyperlink>
    </w:p>
    <w:p>
      <w:pPr>
        <w:pStyle w:val="Heading1"/>
      </w:pPr>
      <w:bookmarkStart w:id="22" w:name="法讯中国第366期"/>
      <w:bookmarkEnd w:id="22"/>
      <w:r>
        <w:t xml:space="preserve">法讯中国第366期</w:t>
      </w:r>
    </w:p>
    <w:p>
      <w:pPr>
        <w:pStyle w:val="Heading2"/>
      </w:pPr>
      <w:bookmarkStart w:id="23" w:name="资本市场"/>
      <w:bookmarkEnd w:id="23"/>
      <w:r>
        <w:t xml:space="preserve">资本市场</w:t>
      </w:r>
    </w:p>
    <w:p>
      <w:pPr>
        <w:pStyle w:val="Heading3"/>
      </w:pPr>
      <w:bookmarkStart w:id="24" w:name="发改委称将积极鼓励民间资本参与金融机构重组"/>
      <w:bookmarkEnd w:id="24"/>
      <w:r>
        <w:t xml:space="preserve">发改委称将积极鼓励民间资本参与金融机构重组</w:t>
      </w:r>
    </w:p>
    <w:p>
      <w:r>
        <w:t xml:space="preserve">国家发改委2013年8月5日发布消息称，发改委将会同有关部门和地方，进一步落实促进民间投资政策措施，及时完善细化政策。引导民间投资进入基础设施、基础产业和公用事业等领域，督促地方、部门推出鼓励民间投资参与的重大项目，积极鼓励民间资本参与金融机构重组改造。</w:t>
      </w:r>
    </w:p>
    <w:p>
      <w:r>
        <w:t xml:space="preserve">发改委称，下一步将为民间投资发展创造良好的体制环境，把做好促进民间投资发展工作与转变政府职能、推进行政审批制度改革结合起来，减少不必要的行政干预，创新对民间投资的管理服务，真正确立民营企业的投资主体地位，激发民间投资创造活力，增强经济发展内生动力。</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桂敏杰力推市场对外开放-吸引境外投资者参与"/>
      <w:bookmarkEnd w:id="27"/>
      <w:r>
        <w:t xml:space="preserve">桂敏杰：力推市场对外开放 吸引境外投资者参与</w:t>
      </w:r>
    </w:p>
    <w:p>
      <w:r>
        <w:t xml:space="preserve">8月8日，上海证券交易所和约翰内斯堡证券交易所在南非约翰内斯堡共同举办了首届“中国－南非资本市场论坛”。论坛围绕两国经济与资本市场发展趋势、人民币国际化带来的新机遇、两国扩大相互直接投资、资本市场未来合作的领域与方式等问题展开了热烈讨论。上交所理事长桂敏杰在开幕式作主题演讲时指出，下一步上交所将以建设更完整产品体系、积极推进国际化为发展战略的两个重要方向。上交所将努力推动市场对外开放，吸引境外投资者参与中国资本市场，引入跨境ETF等。</w:t>
      </w:r>
    </w:p>
    <w:p>
      <w:r>
        <w:t xml:space="preserve">桂敏杰表示，中国和南非是最具活力和发展潜力的新兴经济体，在经济结构和资本市场领域具有高度的差异性和互补性，双方互利合作潜力巨大，目前正面临深化合作的机遇期。他建议，未来两国应该从加强交流、相互促进跨境投资、开展两个交易所之间的产品合作等方面着手，继续深化合作，实现共赢。</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深交所规范上市公司信用账户股东-隐秘大鳄无处遁形"/>
      <w:bookmarkEnd w:id="30"/>
      <w:r>
        <w:t xml:space="preserve">深交所规范上市公司信用账户股东： 隐秘大鳄无处遁形</w:t>
      </w:r>
    </w:p>
    <w:p>
      <w:r>
        <w:t xml:space="preserve">近日，深交所向部分上市公司证券代表以及董秘发送通知。短信内容为：“按照证监会第3号半年报准则的要求，上市公司半年报期末十大股东所持股数应为普通证券账户和信用证券账户的合计股数；前述股东如在报告期内进行约定购回交易的，需要以文字说明方式分别披露股东名称、报告期内约定购回初始交易或购回交易的所涉股份数量及比例及报告期末持股数量及比例。公司可以向登记结算公司申请提供有关股东账户持股数量的明细资料。”</w:t>
      </w:r>
    </w:p>
    <w:p>
      <w:r>
        <w:t xml:space="preserve">如此一来，深交所明确上市公司半年报前十大流通股股东要落实到具体持股人，不能只笼统披露券商信用账户对公司股票的持股情况。原本隐匿在信用账户中的大鳄也不得不在前十大股东席位中曝光。</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债券"/>
      <w:bookmarkEnd w:id="33"/>
      <w:r>
        <w:t xml:space="preserve">债券</w:t>
      </w:r>
    </w:p>
    <w:p>
      <w:pPr>
        <w:pStyle w:val="Heading3"/>
      </w:pPr>
      <w:bookmarkStart w:id="34" w:name="银行间市场交易商协会发布新版持有人会议规程"/>
      <w:bookmarkEnd w:id="34"/>
      <w:r>
        <w:t xml:space="preserve">银行间市场交易商协会发布新版《持有人会议规程》</w:t>
      </w:r>
    </w:p>
    <w:p>
      <w:r>
        <w:t xml:space="preserve">2013年8月6日，中国银行间市场交易商协会（下称“交易商协会”）公布了修订版的《银行间债券市场非金融企业债务融资工具持有人会议规程》（下称《持有人会议规程》），以满足债券市场发展的最新要求。</w:t>
      </w:r>
    </w:p>
    <w:p>
      <w:r>
        <w:t xml:space="preserve">本次修订对《持有人会议规程》进行了适合市场发展需要的调整，涉及新增5条、修改原规程21条，主要对持有人会议的触发条件及会议召开程序等方面进行完善。具体而言，新的《持有人会议规程》增加了因信用增进机构发生重大不利变化、资产支持票据的基础资产发生重大不利变化、发行人和信用增进机构因非生产经营性原因导致的净资产减少以及生产经营发生重大变化等触发召开持有人会议的规定，同时对发行人、信用增进机构和相关中介机构的工作程序方面进行了细化。</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行业"/>
      <w:bookmarkEnd w:id="37"/>
      <w:r>
        <w:t xml:space="preserve">行业</w:t>
      </w:r>
    </w:p>
    <w:p>
      <w:pPr>
        <w:pStyle w:val="Heading3"/>
      </w:pPr>
      <w:bookmarkStart w:id="38" w:name="国家食药监局提高乳企准入门槛"/>
      <w:bookmarkEnd w:id="38"/>
      <w:r>
        <w:t xml:space="preserve">国家食药监局提高乳企准入门槛</w:t>
      </w:r>
    </w:p>
    <w:p>
      <w:r>
        <w:t xml:space="preserve">近日，国家食药监总局公布了最新版 《企业生产婴幼儿配方乳粉许可条件审查细则（2013版）》草案（以下简称审查细则），对乳企准入设立了新门槛。</w:t>
      </w:r>
    </w:p>
    <w:p>
      <w:r>
        <w:t xml:space="preserve">上述审核细则显示，乳企要获得新的准入证，必需按照危害分析和关键控制点体系（HACCP）、粉状婴幼儿配方食品良好生产规范（GMP）等要求建立运行质量管理体系，该审核细则还明确指出，“仅有包装场地、工序、设备，没有完整的生产条件，不予生产许可审查；以婴幼儿配方乳粉或基粉为主要原料生产婴幼儿配方乳粉，没有完整的干法工艺，不予生产许可审查。”</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工信部力推工业化信息化深度融合"/>
      <w:bookmarkEnd w:id="41"/>
      <w:r>
        <w:t xml:space="preserve">工信部力推工业化信息化深度融合</w:t>
      </w:r>
    </w:p>
    <w:p>
      <w:r>
        <w:t xml:space="preserve">8月8日，工信部部长苗圩详细介绍了《信息化和工业化深度融合专项行动计划》（下称《计划》）。《计划》要求，到2018年，全国两化融合发展水平指数达到82。</w:t>
      </w:r>
    </w:p>
    <w:p>
      <w:r>
        <w:t xml:space="preserve">苗圩指出，我国处在工业化进程中，正赶上了信息化发展的历史性机遇，必须走以两化融合为重要内涵的中国特色新型工业化道路。信息技术是当今时代创新最活跃、带动性最强、渗透性最广的领域。信息技术发展和应用正以前所未有的广度和深度，加快推进生产方式、发展模式的深层变革。推进两化融合，有利于我们抓住产业变革带来的历史性机遇，抢占新一轮产业革命发展的制高点。</w:t>
      </w:r>
    </w:p>
    <w:p>
      <w:r>
        <w:t xml:space="preserve">业内人士认为，随着两化融合工作的深入，软件、电子商务、光通信等行业成长空间巨大。</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有林场改革试点正式启动-优质林业公司有望受益"/>
      <w:bookmarkEnd w:id="44"/>
      <w:r>
        <w:t xml:space="preserve">国有林场改革试点正式启动 优质林业公司有望受益</w:t>
      </w:r>
    </w:p>
    <w:p>
      <w:r>
        <w:t xml:space="preserve">国家发改委、国家林业局日前正式批复了河北、浙江、安徽、江西、山东、湖南、甘肃7个省份的国有林场改革试点方案，它标志着我国国有林场改革试点进入了实质推进阶段。分析人士指出，改革实际上是森林资产的重新分配，通过改革可以让部分国有林实现可交易。在这一过程中，优质林业公司有望从中受益。</w:t>
      </w:r>
    </w:p>
    <w:p>
      <w:r>
        <w:t xml:space="preserve">此次国有林场改革的主要任务就是从我国生态建设的全局出发，切实明确国有林场功能定位，理顺管理体制，创新经营机制，完善政策体系，解决遗留问题。通过改革，切实建立起符合社会主义市场经济体制和现代林业发展要求的国有林场管理体制和运行机制，使国有林场将主要精力集中到森林资源（财苑）培育上来，充分发挥在生态建设中的骨干作用，提升优质生态产品的供给保障能力，建成森林优质高效、管理科学规范、基础设施完备、民生和谐幸福的现代林场。</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十二五环境监管能力建设总投资400亿"/>
      <w:bookmarkEnd w:id="47"/>
      <w:r>
        <w:t xml:space="preserve">“十二五”环境监管能力建设总投资400亿</w:t>
      </w:r>
    </w:p>
    <w:p>
      <w:r>
        <w:t xml:space="preserve">环保部、国家发改委、财政部近日联合印发《国家环境监管能力建设“十二五”规划》，以总量减排、质量改善、风险防范、基础完善为着力点，开展能力建设，切实加强环境监管能力。《规划》提出，将实施基础、保障、人才等三大工程，总投资400亿元。</w:t>
      </w:r>
    </w:p>
    <w:p>
      <w:r>
        <w:t xml:space="preserve">根据《规划》，环境监管能力建设的目标包括：污染源与总量减排监管能力全面提高、环境质量监测与评估考核能力显著提升、环境预警与应急能力系统加强、环境综合监督管理基础设施基本完善等四个方面。</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船舶工业转型升级实施方案出台"/>
      <w:bookmarkEnd w:id="50"/>
      <w:r>
        <w:t xml:space="preserve">船舶工业转型升级实施方案出台</w:t>
      </w:r>
    </w:p>
    <w:p>
      <w:r>
        <w:t xml:space="preserve">为促进船舶工业持续健康发展，日前，国务院印发《船舶工业加快结构调整促进转型升级实施方案（2013-2015年）》。这是新一届政府针对当前形势，以调结构、促改革推进稳增长的又一重大举措。</w:t>
      </w:r>
    </w:p>
    <w:p>
      <w:r>
        <w:t xml:space="preserve">《实施方案》指出，新世纪以来，我国船舶工业发展取得显著成就，产业规模迅速扩大，中国已经成为世界最具影响力的造船大国之一。但受国际金融危机、国际航运市场持续低迷等因素影响，新增造船订单严重不足，新船成交价格不断走低，导致我国船舶工业产能过剩矛盾加剧，产业发展面临前所未有的严峻挑战。与此同时，也要看到，我国已经建成了一批高水平的造船基础设施，上下游产业齐全，劳动力资源充裕，国内市场潜力较大。要坚定信心、抓住机遇，主动融入世界船舶工业深刻 调整的大趋势，深入推进产业结构调整，加快产业转型升级。</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国内首家互联网金融行业组织成立"/>
      <w:bookmarkEnd w:id="53"/>
      <w:r>
        <w:t xml:space="preserve">国内首家互联网金融行业组织成立</w:t>
      </w:r>
    </w:p>
    <w:p>
      <w:r>
        <w:t xml:space="preserve">8月9日，京东商城、当当网、拉卡拉、用友软件等行业巨头等在内的33家单位发起成立了中关村互联网金融行业协会。这是全国范围内第一家互联网金融的行业组织。向互联网金融产业进军，也是中关村“亮剑”国家科技金融创新中心的重要一步。</w:t>
      </w:r>
    </w:p>
    <w:p>
      <w:r>
        <w:t xml:space="preserve">上海市信息服务业行业协会秘书长马海湧表示，网络信贷服务业在拓展中小微企业或个人业主的融资渠道，满足其个性化融资需求，以及降低融资成本，提升其融资效率等方面发挥着积极作用，尤其是在我国优化实体经济发展环境、缓解中小微企业融资难的政策导向下，网络信贷服务业作为我国金融服务体系的有益补充，具有重大现实意义。网络信贷有望成为上海发展金融信息服务业的又一抓手。</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保险"/>
      <w:bookmarkEnd w:id="56"/>
      <w:r>
        <w:t xml:space="preserve">保险</w:t>
      </w:r>
    </w:p>
    <w:p>
      <w:pPr>
        <w:pStyle w:val="Heading3"/>
      </w:pPr>
      <w:bookmarkStart w:id="57" w:name="保监会发布关于加强保险资金投资债券使用外部信用评级监管的通知"/>
      <w:bookmarkEnd w:id="57"/>
      <w:r>
        <w:t xml:space="preserve">保监会发布《关于加强保险资金投资债券使用外部信用评级监管的通知》</w:t>
      </w:r>
    </w:p>
    <w:p>
      <w:r>
        <w:t xml:space="preserve">为进一步加强保险资金信用风险管理，规范外部信用评级使用行为，近日，保监会下发了《关于加强保险资金投资债券使用外部信用评级监管的通知》，填补了监管空白。</w:t>
      </w:r>
    </w:p>
    <w:p>
      <w:r>
        <w:t xml:space="preserve">《通知》立足保险机构使用外部评级的角度，按照“宽进严管”的原则，主要规范了三方面内容：一是明确了评级机构的服务能力标准。二是建立行业自律管理机制。三是建立持续性监管机制。</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保监会彻查险企中介业务-上半年查实非法套取资金2583万"/>
      <w:bookmarkEnd w:id="60"/>
      <w:r>
        <w:t xml:space="preserve">保监会彻查险企中介业务 上半年查实非法套取资金2583万</w:t>
      </w:r>
    </w:p>
    <w:p>
      <w:r>
        <w:t xml:space="preserve">保监会8月5日公布了2013年上半年对8家保险公司实施中介业务现场检查的结果。通过对8家保险公司的88个基层保险机构以及延伸至车商、银邮等保险中介机构85家的检查，各地保监会查实保险公司利用中介业务渠道弄虚作假，非法套取资金2583.79万元。</w:t>
      </w:r>
    </w:p>
    <w:p>
      <w:r>
        <w:t xml:space="preserve">保监会相关负责人表示，各保监局将依法对违法违规机构和人员进行严肃处理，并及时向社会披露。</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中国保监会启动普通型人身保险费率政策改革"/>
      <w:bookmarkEnd w:id="63"/>
      <w:r>
        <w:t xml:space="preserve">中国保监会启动普通型人身保险费率政策改革</w:t>
      </w:r>
    </w:p>
    <w:p>
      <w:r>
        <w:t xml:space="preserve">经国务院批准，普通型人身保险费率政策改革正式启动，新的费率政策将从8月5日起正式实施。</w:t>
      </w:r>
    </w:p>
    <w:p>
      <w:r>
        <w:t xml:space="preserve">为保障改革顺利实施，中国保监会同时出台了与之相配套的监管政策： 一是对国家政策鼓励发展的养老业务实施差别化的准备金评估利率，允许养老年金等业务的准备金评估利率最高上浮15％。 二是适当降低长期人身保险业务中风险保额相关的最低资本要求。 三是在控制费用总水平、消费者利益不受损害的前提下，由保险公司自主确定佣金水平，优化费用支付结构，促进风险保障业务发展。 四是进一步规范总精算师的任职和履职，明确总精算师责任。 五是加强人身保险条款和保险费率的管理，将偿付能力状况作为保险条款和保险费率审批、备案的重要依据，并根据预定利率是否高于规定的评估利率上限，分别采取审批、备案方式进行管理。</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税收"/>
      <w:bookmarkEnd w:id="66"/>
      <w:r>
        <w:t xml:space="preserve">税收</w:t>
      </w:r>
    </w:p>
    <w:p>
      <w:pPr>
        <w:pStyle w:val="Heading3"/>
      </w:pPr>
      <w:bookmarkStart w:id="67" w:name="车船税征管若干问题公告下发"/>
      <w:bookmarkEnd w:id="67"/>
      <w:r>
        <w:t xml:space="preserve">车船税征管若干问题公告下发</w:t>
      </w:r>
    </w:p>
    <w:p>
      <w:r>
        <w:t xml:space="preserve">为规范车船税征管，维护纳税人合法权益，近日国家税务总局下发《关于车船税征管若干问题的公告》，明确了车船税征管相关问题，并将于9月1日起正式实施。</w:t>
      </w:r>
    </w:p>
    <w:p>
      <w:r>
        <w:t xml:space="preserve">公告明确，客货两用车依照货车的计税单位和年基准税额计征车船税；车船税法及其实施条例涉及的整备质量、净吨位等计税单位，有尾数的一律按照含尾数的计税单位据实计算车船税应纳税额；已经缴纳车船税的车船，因质量原因，车船被退回生产企业或者经销商的，纳税人可以向纳税所在地的主管税务机关申请退还税款；纳税人在购买“交强险”时，由扣缴义务人代收代缴车船税的，主管税务机关不再征收该纳税年度的车船税。</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2"/>
      </w:pPr>
      <w:bookmarkStart w:id="70" w:name="其它"/>
      <w:bookmarkEnd w:id="70"/>
      <w:r>
        <w:t xml:space="preserve">其它</w:t>
      </w:r>
    </w:p>
    <w:p>
      <w:pPr>
        <w:pStyle w:val="Heading3"/>
      </w:pPr>
      <w:bookmarkStart w:id="71" w:name="中国反垄断最大罚单合生元等6奶企被罚6.7亿"/>
      <w:bookmarkEnd w:id="71"/>
      <w:r>
        <w:t xml:space="preserve">中国反垄断最大罚单：合生元等6奶企被罚6.7亿</w:t>
      </w:r>
    </w:p>
    <w:p>
      <w:r>
        <w:t xml:space="preserve">国家发展和改革委员会8月7日宣布，合生元等6家乳粉生产企业因违反《反垄断法》限制竞争行为共被罚约6.7亿元，成为我国反垄断史上开出的最大罚单。3家企业因配合执法机关调查并积极整改被免除处罚。</w:t>
      </w:r>
    </w:p>
    <w:p>
      <w:r>
        <w:t xml:space="preserve">从今年3月开始，根据举报，发改委对9家奶粉生产企业开展了反价格垄断调查。大量证据表明，涉案企业价格垄断具体的措施和手段主要包括合同约定、直接罚款、变相罚款、扣减返利、限制供货、停止供货等。</w:t>
      </w:r>
    </w:p>
    <w:p>
      <w:r>
        <w:t xml:space="preserve">根据《反垄断法》，一旦企业被反垄断部门确认违法，可能面临企业年销售额1％至10％的罚款。国家发改委介绍，乳企合生元公司因“违法行为严重、不能积极主动整改”被处上一年度销售额6％的罚款，约1.63亿元。“不能主动配合调查但能积极整改”的美赞臣公司被处上一年度销售额4％的罚款，约2.04亿元。</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第366期 - 2013年08月09日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9a9909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_1.pdf" TargetMode="External" /><Relationship Type="http://schemas.openxmlformats.org/officeDocument/2006/relationships/hyperlink" Id="rId29" Target="1_2.pdf" TargetMode="External" /><Relationship Type="http://schemas.openxmlformats.org/officeDocument/2006/relationships/hyperlink" Id="rId32" Target="1_3.pdf" TargetMode="External" /><Relationship Type="http://schemas.openxmlformats.org/officeDocument/2006/relationships/hyperlink" Id="rId36" Target="2_1.pdf" TargetMode="External" /><Relationship Type="http://schemas.openxmlformats.org/officeDocument/2006/relationships/hyperlink" Id="rId40" Target="3_1.pdf" TargetMode="External" /><Relationship Type="http://schemas.openxmlformats.org/officeDocument/2006/relationships/hyperlink" Id="rId43" Target="3_2.pdf" TargetMode="External" /><Relationship Type="http://schemas.openxmlformats.org/officeDocument/2006/relationships/hyperlink" Id="rId46" Target="3_3.pdf" TargetMode="External" /><Relationship Type="http://schemas.openxmlformats.org/officeDocument/2006/relationships/hyperlink" Id="rId49" Target="3_4.pdf" TargetMode="External" /><Relationship Type="http://schemas.openxmlformats.org/officeDocument/2006/relationships/hyperlink" Id="rId52" Target="3_5.pdf" TargetMode="External" /><Relationship Type="http://schemas.openxmlformats.org/officeDocument/2006/relationships/hyperlink" Id="rId55" Target="3_6.pdf" TargetMode="External" /><Relationship Type="http://schemas.openxmlformats.org/officeDocument/2006/relationships/hyperlink" Id="rId59" Target="4_1.pdf" TargetMode="External" /><Relationship Type="http://schemas.openxmlformats.org/officeDocument/2006/relationships/hyperlink" Id="rId62" Target="4_2.pdf" TargetMode="External" /><Relationship Type="http://schemas.openxmlformats.org/officeDocument/2006/relationships/hyperlink" Id="rId65" Target="4_3.pdf" TargetMode="External" /><Relationship Type="http://schemas.openxmlformats.org/officeDocument/2006/relationships/hyperlink" Id="rId69" Target="5_1.pdf" TargetMode="External" /><Relationship Type="http://schemas.openxmlformats.org/officeDocument/2006/relationships/hyperlink" Id="rId73" Target="6_1.pdf" TargetMode="External" /><Relationship Type="http://schemas.openxmlformats.org/officeDocument/2006/relationships/hyperlink" Id="rId54" Target="http://finance.roadoor.com/20278.html" TargetMode="External" /><Relationship Type="http://schemas.openxmlformats.org/officeDocument/2006/relationships/hyperlink" Id="rId28" Target="http://finance.sina.com.cn/stock/zldx/20130809/015216392255.shtml" TargetMode="External" /><Relationship Type="http://schemas.openxmlformats.org/officeDocument/2006/relationships/hyperlink" Id="rId51" Target="http://kuaixun.stcn.com/2013/0805/10653652.shtml" TargetMode="External" /><Relationship Type="http://schemas.openxmlformats.org/officeDocument/2006/relationships/hyperlink" Id="rId42" Target="http://kuaixun.stcn.com/2013/0809/10665913_12.shtml" TargetMode="External" /><Relationship Type="http://schemas.openxmlformats.org/officeDocument/2006/relationships/hyperlink" Id="rId45" Target="http://kuaixun.stcn.com/2013/0809/10665913_13.shtml" TargetMode="External" /><Relationship Type="http://schemas.openxmlformats.org/officeDocument/2006/relationships/hyperlink" Id="rId48" Target="http://kuaixun.stcn.com/2013/0809/10665913_14.shtml" TargetMode="External" /><Relationship Type="http://schemas.openxmlformats.org/officeDocument/2006/relationships/hyperlink" Id="rId35" Target="http://news.stcn.com/2013/0807/10659850.shtml" TargetMode="External" /><Relationship Type="http://schemas.openxmlformats.org/officeDocument/2006/relationships/hyperlink" Id="rId39" Target="http://news.stcn.com/2013/0808/10662598.shtml" TargetMode="External" /><Relationship Type="http://schemas.openxmlformats.org/officeDocument/2006/relationships/hyperlink" Id="rId25" Target="http://politics.gmw.cn/2013-08/06/content_8515654.htm" TargetMode="External" /><Relationship Type="http://schemas.openxmlformats.org/officeDocument/2006/relationships/hyperlink" Id="rId31" Target="http://www.21cbh.com/2013/8-8/yNNTM5XzczOTAyNw.html" TargetMode="External" /><Relationship Type="http://schemas.openxmlformats.org/officeDocument/2006/relationships/hyperlink" Id="rId21" Target="http://www.charltonslaw.com.cn/china-news-alerts-cn-issue-366/" TargetMode="External" /><Relationship Type="http://schemas.openxmlformats.org/officeDocument/2006/relationships/hyperlink" Id="rId72" Target="http://www.chinadaily.com.cn/hqcj/gjcj/2013-08-08/content_9798475.html" TargetMode="External" /><Relationship Type="http://schemas.openxmlformats.org/officeDocument/2006/relationships/hyperlink" Id="rId61" Target="http://www.chinadaily.com.cn/hqcj/zgjj/2013-08-06/content_9776396.html" TargetMode="External" /><Relationship Type="http://schemas.openxmlformats.org/officeDocument/2006/relationships/hyperlink" Id="rId68" Target="http://www.chinatax.gov.cn/n8136506/n8136593/n8137537/n8138532/12359024.html" TargetMode="External" /><Relationship Type="http://schemas.openxmlformats.org/officeDocument/2006/relationships/hyperlink" Id="rId64" Target="http://www.circ.gov.cn/web/site0/tab456/i252604.htm" TargetMode="External" /><Relationship Type="http://schemas.openxmlformats.org/officeDocument/2006/relationships/hyperlink" Id="rId58" Target="http://www.circ.gov.cn/web/site0/tab456/i252645.htm"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_1.pdf" TargetMode="External" /><Relationship Type="http://schemas.openxmlformats.org/officeDocument/2006/relationships/hyperlink" Id="rId29" Target="1_2.pdf" TargetMode="External" /><Relationship Type="http://schemas.openxmlformats.org/officeDocument/2006/relationships/hyperlink" Id="rId32" Target="1_3.pdf" TargetMode="External" /><Relationship Type="http://schemas.openxmlformats.org/officeDocument/2006/relationships/hyperlink" Id="rId36" Target="2_1.pdf" TargetMode="External" /><Relationship Type="http://schemas.openxmlformats.org/officeDocument/2006/relationships/hyperlink" Id="rId40" Target="3_1.pdf" TargetMode="External" /><Relationship Type="http://schemas.openxmlformats.org/officeDocument/2006/relationships/hyperlink" Id="rId43" Target="3_2.pdf" TargetMode="External" /><Relationship Type="http://schemas.openxmlformats.org/officeDocument/2006/relationships/hyperlink" Id="rId46" Target="3_3.pdf" TargetMode="External" /><Relationship Type="http://schemas.openxmlformats.org/officeDocument/2006/relationships/hyperlink" Id="rId49" Target="3_4.pdf" TargetMode="External" /><Relationship Type="http://schemas.openxmlformats.org/officeDocument/2006/relationships/hyperlink" Id="rId52" Target="3_5.pdf" TargetMode="External" /><Relationship Type="http://schemas.openxmlformats.org/officeDocument/2006/relationships/hyperlink" Id="rId55" Target="3_6.pdf" TargetMode="External" /><Relationship Type="http://schemas.openxmlformats.org/officeDocument/2006/relationships/hyperlink" Id="rId59" Target="4_1.pdf" TargetMode="External" /><Relationship Type="http://schemas.openxmlformats.org/officeDocument/2006/relationships/hyperlink" Id="rId62" Target="4_2.pdf" TargetMode="External" /><Relationship Type="http://schemas.openxmlformats.org/officeDocument/2006/relationships/hyperlink" Id="rId65" Target="4_3.pdf" TargetMode="External" /><Relationship Type="http://schemas.openxmlformats.org/officeDocument/2006/relationships/hyperlink" Id="rId69" Target="5_1.pdf" TargetMode="External" /><Relationship Type="http://schemas.openxmlformats.org/officeDocument/2006/relationships/hyperlink" Id="rId73" Target="6_1.pdf" TargetMode="External" /><Relationship Type="http://schemas.openxmlformats.org/officeDocument/2006/relationships/hyperlink" Id="rId54" Target="http://finance.roadoor.com/20278.html" TargetMode="External" /><Relationship Type="http://schemas.openxmlformats.org/officeDocument/2006/relationships/hyperlink" Id="rId28" Target="http://finance.sina.com.cn/stock/zldx/20130809/015216392255.shtml" TargetMode="External" /><Relationship Type="http://schemas.openxmlformats.org/officeDocument/2006/relationships/hyperlink" Id="rId51" Target="http://kuaixun.stcn.com/2013/0805/10653652.shtml" TargetMode="External" /><Relationship Type="http://schemas.openxmlformats.org/officeDocument/2006/relationships/hyperlink" Id="rId42" Target="http://kuaixun.stcn.com/2013/0809/10665913_12.shtml" TargetMode="External" /><Relationship Type="http://schemas.openxmlformats.org/officeDocument/2006/relationships/hyperlink" Id="rId45" Target="http://kuaixun.stcn.com/2013/0809/10665913_13.shtml" TargetMode="External" /><Relationship Type="http://schemas.openxmlformats.org/officeDocument/2006/relationships/hyperlink" Id="rId48" Target="http://kuaixun.stcn.com/2013/0809/10665913_14.shtml" TargetMode="External" /><Relationship Type="http://schemas.openxmlformats.org/officeDocument/2006/relationships/hyperlink" Id="rId35" Target="http://news.stcn.com/2013/0807/10659850.shtml" TargetMode="External" /><Relationship Type="http://schemas.openxmlformats.org/officeDocument/2006/relationships/hyperlink" Id="rId39" Target="http://news.stcn.com/2013/0808/10662598.shtml" TargetMode="External" /><Relationship Type="http://schemas.openxmlformats.org/officeDocument/2006/relationships/hyperlink" Id="rId25" Target="http://politics.gmw.cn/2013-08/06/content_8515654.htm" TargetMode="External" /><Relationship Type="http://schemas.openxmlformats.org/officeDocument/2006/relationships/hyperlink" Id="rId31" Target="http://www.21cbh.com/2013/8-8/yNNTM5XzczOTAyNw.html" TargetMode="External" /><Relationship Type="http://schemas.openxmlformats.org/officeDocument/2006/relationships/hyperlink" Id="rId21" Target="http://www.charltonslaw.com.cn/china-news-alerts-cn-issue-366/" TargetMode="External" /><Relationship Type="http://schemas.openxmlformats.org/officeDocument/2006/relationships/hyperlink" Id="rId72" Target="http://www.chinadaily.com.cn/hqcj/gjcj/2013-08-08/content_9798475.html" TargetMode="External" /><Relationship Type="http://schemas.openxmlformats.org/officeDocument/2006/relationships/hyperlink" Id="rId61" Target="http://www.chinadaily.com.cn/hqcj/zgjj/2013-08-06/content_9776396.html" TargetMode="External" /><Relationship Type="http://schemas.openxmlformats.org/officeDocument/2006/relationships/hyperlink" Id="rId68" Target="http://www.chinatax.gov.cn/n8136506/n8136593/n8137537/n8138532/12359024.html" TargetMode="External" /><Relationship Type="http://schemas.openxmlformats.org/officeDocument/2006/relationships/hyperlink" Id="rId64" Target="http://www.circ.gov.cn/web/site0/tab456/i252604.htm" TargetMode="External" /><Relationship Type="http://schemas.openxmlformats.org/officeDocument/2006/relationships/hyperlink" Id="rId58" Target="http://www.circ.gov.cn/web/site0/tab456/i252645.htm"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第366期 - 2013年08月09日</dc:title>
  <dc:creator/>
</cp:coreProperties>
</file>