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第367期</w:t>
      </w:r>
      <w:r>
        <w:t xml:space="preserve"> </w:t>
      </w:r>
      <w:r>
        <w:t xml:space="preserve">-</w:t>
      </w:r>
      <w:r>
        <w:t xml:space="preserve"> </w:t>
      </w:r>
      <w:r>
        <w:t xml:space="preserve">2013年08月19日</w:t>
      </w:r>
    </w:p>
    <w:p>
      <w:hyperlink r:id="rId21">
        <w:r>
          <w:rPr>
            <w:rStyle w:val="Link"/>
          </w:rPr>
          <w:t xml:space="preserve">网络版</w:t>
        </w:r>
      </w:hyperlink>
    </w:p>
    <w:p>
      <w:pPr>
        <w:pStyle w:val="Heading1"/>
      </w:pPr>
      <w:bookmarkStart w:id="22" w:name="法讯中国第367期"/>
      <w:bookmarkEnd w:id="22"/>
      <w:r>
        <w:t xml:space="preserve">法讯中国第367期</w:t>
      </w:r>
    </w:p>
    <w:p>
      <w:pPr>
        <w:pStyle w:val="Heading2"/>
      </w:pPr>
      <w:bookmarkStart w:id="23" w:name="资本市场"/>
      <w:bookmarkEnd w:id="23"/>
      <w:r>
        <w:t xml:space="preserve">资本市场</w:t>
      </w:r>
    </w:p>
    <w:p>
      <w:pPr>
        <w:pStyle w:val="Heading3"/>
      </w:pPr>
      <w:bookmarkStart w:id="24" w:name="中国证监会修改并发布关于建立金融期货投资者适当性制度的规定"/>
      <w:bookmarkEnd w:id="24"/>
      <w:r>
        <w:t xml:space="preserve">中国证监会修改并发布《关于建立金融期货投资者适当性制度的规定》</w:t>
      </w:r>
    </w:p>
    <w:p>
      <w:r>
        <w:t xml:space="preserve">为了配合国债期货上市工作，经过前期公开征求意见，中国证监会修改并重新发布了《关于建立金融期货投资者适当性制度的规定》。</w:t>
      </w:r>
    </w:p>
    <w:p>
      <w:r>
        <w:t xml:space="preserve">证监会新闻发言人表示，2013年7月5日，证监会发布了《关于修改</w:t>
      </w:r>
      <w:r>
        <w:t xml:space="preserve">的决定（征求意见稿）》，同时向社会公开征求意见。截至2013年7月20日，收到来自社会各界通过电子邮件提出的意见和建议共19份，意见主要集中在三方面：</w:t>
      </w:r>
    </w:p>
    <w:p>
      <w:r>
        <w:t xml:space="preserve">一是该制度是否适用于金融期权。二是第14条中“行业监管政策要求”是否可以明确其具体内容。三是50万的开户门槛是否可以降低。</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证监会发布基金管理公司固有资金运用管理暂行规定"/>
      <w:bookmarkEnd w:id="27"/>
      <w:r>
        <w:t xml:space="preserve">中国证监会发布《基金管理公司固有资金运用管理暂行规定》</w:t>
      </w:r>
    </w:p>
    <w:p>
      <w:r>
        <w:t xml:space="preserve">8月9日，中国证监会公布《基金管理公司固有资金运用管理暂行规定》（以下简称《暂行规定》）。</w:t>
      </w:r>
    </w:p>
    <w:p>
      <w:r>
        <w:t xml:space="preserve">证监会新闻发言人表示，基金管理公司一直以来在固有资金投资方面受到较多限制，只能投资于基金、国债以及设立境内外子公司等。除此之外，基金管理公司的固有资金不能再进行其它投资。随着基金行业和财富管理行业的改革创新发展，基金管理公司需要向现代财富管理机构转型，对于基金管理公司固有资金的过严限制影响了公司业务拓展和对外投资，不能适应基金行业发展的要求。按照“放松管制、加强监管”的总体思路，应适当放开对基金管理公司固有资金运用的限制，引导基金行业建立灵活有效的固有资金运用管理机制。</w:t>
      </w:r>
    </w:p>
    <w:p>
      <w:r>
        <w:t xml:space="preserve">《暂行规定》明确了固有资金运用的定义、扩大了固有资金的投资范围，同时提出了固有资金运用的原则及要求，规定了基金管理公司应当在公司治理、内部控制、决策交易、关联交易、信息披露等方面加强对固有资金运用的监督管理，以及证监会对相关违法违规行为的处罚措施等内容。</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两大期货交易所松绑托管银行限制"/>
      <w:bookmarkEnd w:id="30"/>
      <w:r>
        <w:t xml:space="preserve">两大期货交易所松绑托管银行限制</w:t>
      </w:r>
    </w:p>
    <w:p>
      <w:r>
        <w:t xml:space="preserve">银期合作不再是五大行的专利。8月14日，中金所和大商所各自发布交易所指定存管银行管理办法，纷纷将指定存管银行门槛大幅降低。</w:t>
      </w:r>
    </w:p>
    <w:p>
      <w:r>
        <w:t xml:space="preserve">此前具备期货保证金存管资格的只有国有五大银行。根据规定，申请的商业银行注册资本应达到100亿元人民币，总资产在1.5万亿元人民币以上，净资产在1000亿元人民币以上，分支机构在600个以上。此外，申请银期合作的商业银行还应设有专门机构或部门负责期货保证金存管业务，具有健全的期货保证金存管制度和服务良好的全国集中式银期转账系统，以及安全存管监控所需的设施和技术水平。</w:t>
      </w:r>
    </w:p>
    <w:p>
      <w:r>
        <w:t xml:space="preserve">值得注意的是，大商所和中金所纷纷对各自的特殊客户开放门槛。大商所规定与交易所上市品种密切相关的政策性银行，可以豁免总资产规模、净资产规模、营业网点匹配度等方面的要求，申请交易所的期货保证金存管业务资格。</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证协发布诚信管理办法-诚信信息分级公开"/>
      <w:bookmarkEnd w:id="33"/>
      <w:r>
        <w:t xml:space="preserve">中证协发布诚信管理办法 诚信信息分级公开</w:t>
      </w:r>
    </w:p>
    <w:p>
      <w:r>
        <w:t xml:space="preserve">中国证券业协会8月13日正式发布《中国证券业协会诚信管理办法》（下称《办法》），由总则、诚信信息的采集与管理、诚信信息的保存与效力期限、诚信信息的使用与查询、诚信状况评估与检查、自律管理与责任、附则七部分组成，共三十七条。</w:t>
      </w:r>
    </w:p>
    <w:p>
      <w:r>
        <w:t xml:space="preserve">此次具体修订内容如下：</w:t>
      </w:r>
    </w:p>
    <w:p>
      <w:r>
        <w:t xml:space="preserve">一是保留了会员诚信办法和从业人员诚信办法中的合理制度。</w:t>
      </w:r>
    </w:p>
    <w:p>
      <w:r>
        <w:t xml:space="preserve">二是对“会员”、“从业人员”、“诚信信息”等概念进行了重新界定。</w:t>
      </w:r>
    </w:p>
    <w:p>
      <w:r>
        <w:t xml:space="preserve">三是整合了会员诚信办法、从业人员诚信办法关于诚信信息采集途径的规定。</w:t>
      </w:r>
    </w:p>
    <w:p>
      <w:r>
        <w:t xml:space="preserve">四是进一步明确协会诚信信息的约束、激励与引导作用。</w:t>
      </w:r>
    </w:p>
    <w:p>
      <w:r>
        <w:t xml:space="preserve">五是完善了诚信信息效力期限制度。</w:t>
      </w:r>
    </w:p>
    <w:p>
      <w:r>
        <w:t xml:space="preserve">六是建立了更加科学的诚信信息合理使用制度。</w:t>
      </w:r>
    </w:p>
    <w:p>
      <w:r>
        <w:t xml:space="preserve">七是建立诚信信息变更、异议申诉制度。</w:t>
      </w:r>
    </w:p>
    <w:p>
      <w:r>
        <w:t xml:space="preserve">八是加强了对协会工作人员责任以及会员虚假报送、不按规定报送、更新诚信信息以及相关机构或个人不当使用诚信信息等行为责任的规定。</w:t>
      </w:r>
    </w:p>
    <w:p>
      <w:r>
        <w:t xml:space="preserve">九是建立了证券行业诚信评估制度，原则规定了协会诚信状况评估的方式、评估内容。</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江苏鲈乡小贷赴美成功上市-首日破发次日暴涨"/>
      <w:bookmarkEnd w:id="36"/>
      <w:r>
        <w:t xml:space="preserve">江苏鲈乡小贷赴美成功上市 首日破发次日暴涨</w:t>
      </w:r>
    </w:p>
    <w:p>
      <w:r>
        <w:t xml:space="preserve">美国时间8月13日，江苏吴江鲈乡农村小额贷款股份有限公司在美国纳斯达克上市。作为全国首家实现的IPO小贷公司，“鲈乡小贷”也是成功“登陆”美国资本市场的第一家中国小贷公司。这也是2013年内第二家赴美IPO的中国公司，其参股股东有亨通集团(600487)和永鼎集团(600105)。8月15日，小贷概念股大幅攀升，香溢融通涨停，浙江东日涨5.38%、金山开发涨逾3%，永鼎股份涨幅亦超2%。</w:t>
      </w:r>
    </w:p>
    <w:p>
      <w:r>
        <w:t xml:space="preserve">吴江市鲈乡农村小额贷款股份有限公司2008年成立于江苏省吴江市,是一家主要为中小企业、农民和个人提供小额贷款和担保服务的公司,注册资本3亿元。招股书披露公司只有22个全职员工。在截至今年3月31日的最近12个月,该公司已经为249个借贷者提供等值8850万美元直接贷款,营收达1200万美元。截至2012年12月31日,公司总资产为1亿美元,同比增长5.76%;净利润831万美元,同比增长0.13%。</w:t>
      </w:r>
    </w:p>
    <w:p>
      <w:r>
        <w:t xml:space="preserve">“‘鲈乡小贷’采用借壳上市而非传统意义的赴美IPO，在纳斯达克上市要求比在人民币普通股票上市相对简单，这是‘鲈乡小贷’成功的关键之一。”苏州市吴江区政府相关负责人介绍。有市场分析人士称，成功上市后，上市公司的身份会赋予其很强的品牌背景，尤其是在中国小额信贷这个行业，也能因此享受地方政府很多优惠和政策照顾。</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国泰君安登陆央行支付系统券商打造全功能证券账户迈出新步"/>
      <w:bookmarkEnd w:id="39"/>
      <w:r>
        <w:t xml:space="preserve">国泰君安登陆央行支付系统券商打造全功能证券账户迈出新步</w:t>
      </w:r>
    </w:p>
    <w:p>
      <w:r>
        <w:t xml:space="preserve">券商可以借助多种支付渠道实现广义的支付功能,使客户资金账户不仅能够实现证券投资、买卖各自金融产品,同时用于消费和信用交易,从而实现真正意义上的客户资产管理。</w:t>
      </w:r>
    </w:p>
    <w:p>
      <w:r>
        <w:t xml:space="preserve">从海外市场来看,全功能账户建设是券商收入模式从佣金依赖向费用模式转型的重要前提和主要推手。</w:t>
      </w:r>
    </w:p>
    <w:p>
      <w:r>
        <w:t xml:space="preserve">国泰君安证券日前已获得央行批准,加入央行支付系统。业内人士表示,此举有望开创先例,使得券商消费支付功能基础建设得到进一步推进。</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债券"/>
      <w:bookmarkEnd w:id="42"/>
      <w:r>
        <w:t xml:space="preserve">债券</w:t>
      </w:r>
    </w:p>
    <w:p>
      <w:pPr>
        <w:pStyle w:val="Heading3"/>
      </w:pPr>
      <w:bookmarkStart w:id="43" w:name="中央结算公司发文规范银行间债市结算业务"/>
      <w:bookmarkEnd w:id="43"/>
      <w:r>
        <w:t xml:space="preserve">中央结算公司发文规范银行间债市结算业务</w:t>
      </w:r>
    </w:p>
    <w:p>
      <w:r>
        <w:t xml:space="preserve">中央国债登记结算有限责任公司近日发布《关于进一步完善银行间债券市场结算业务的通知（以下简称通知）》，通知中明确：已开立债券账户的结算成员应当通过同业拆借中心报价系统达成债券交易。交易达成后，由同业拆借中心将成交数据传输到中债登公司债券系统自动生成待确认的结算指令。结算双方后台部门应分别通过债券系统客户端对结算指令进行审核和确认。</w:t>
      </w:r>
    </w:p>
    <w:p>
      <w:r>
        <w:t xml:space="preserve">通知指出，自2013年8月9日起，关闭从中债综合业务系统客户端录入银行间债券市场现券买卖、质押式回购、买断式回购、债券远期和债券借贷结算指令的功能。</w:t>
      </w:r>
    </w:p>
    <w:p>
      <w:r>
        <w:t xml:space="preserve">该通知所称债券交易包括现券买卖、债券质押式回购、债券买断式回购、债券远期、债券借贷等。</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中国铁总再发200亿铁道债-进入密集发债期"/>
      <w:bookmarkEnd w:id="46"/>
      <w:r>
        <w:t xml:space="preserve">中国铁总再发200亿铁道债 进入密集发债期</w:t>
      </w:r>
    </w:p>
    <w:p>
      <w:r>
        <w:t xml:space="preserve">中国铁路总公司8月14日再发200亿元铁路建设债券，这是铁路总公司成立以来发行的第二期铁路建设债券。加上此前发行的中期票据等，中国铁总今年以来已发行了800亿元铁路债。根据规划，到年底前不足5月时间内，还将发行1100亿元铁道债。</w:t>
      </w:r>
    </w:p>
    <w:p>
      <w:r>
        <w:t xml:space="preserve">根据国家发改委的规划，2013年批准中国铁路总公司发行1500亿元的铁路建设债券，首期债券7月亮相后，截至目前，中国铁路总公司已发行完毕400亿元债券。照此推算，到年底前不足5月时间，中国铁路总公司将密集发行1100亿元铁道债。该通知所称债券交易包括现券买卖、债券质押式回购、债券买断式回购、债券远期、债券借贷等。</w:t>
      </w:r>
    </w:p>
    <w:p>
      <w:r>
        <w:t xml:space="preserve">分析人士指出，在投融资体制改革未有实质性进展时，以铁路建设债券支撑铁路建设资金来源或许是唯一的选择。目前债券融资占铁路投资总额的三分之一左右。截至2013年5月13日，中国铁路总公司及下属企业已发行尚未到期的债务融资工具总计为7641亿元，其中中国铁路建设债券合计金额为6220亿元、公司债90亿元、中期票据合计金额为910亿元、短期融资债券合计金额为421亿元。</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央行公告包商银行债券结算资格被冻结"/>
      <w:bookmarkEnd w:id="49"/>
      <w:r>
        <w:t xml:space="preserve">央行公告包商银行债券结算资格被冻结</w:t>
      </w:r>
    </w:p>
    <w:p>
      <w:r>
        <w:t xml:space="preserve">中国人民银行8月13日公告称，未来2年内将暂停包商银行在银行间市场的债券结算代理业务资格。央行对外公布一家商业银行相关业务的处罚决定，迄今为止还是首次。</w:t>
      </w:r>
    </w:p>
    <w:p>
      <w:r>
        <w:t xml:space="preserve">这份由中国人民银行办公厅8月7日印发的通知，要求暂停包商银行银行间市场债券结算代理业务资格，为时两年。并要求包商银行不得发生新的债券结算代理业务，存量业务应逐笔自然退出。暂停期满后，根据专项现场检查评估结果，决定是否恢复包商银行此项业务资格。此外，公告中并未披露暂停该行上述业务资格的原因。</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知识产权"/>
      <w:bookmarkEnd w:id="52"/>
      <w:r>
        <w:t xml:space="preserve">知识产权</w:t>
      </w:r>
    </w:p>
    <w:p>
      <w:pPr>
        <w:pStyle w:val="Heading3"/>
      </w:pPr>
      <w:bookmarkStart w:id="53" w:name="日本东洋公司起诉多家轮胎企业侵犯专利设计"/>
      <w:bookmarkEnd w:id="53"/>
      <w:r>
        <w:t xml:space="preserve">日本东洋公司起诉多家轮胎企业侵犯专利设计</w:t>
      </w:r>
    </w:p>
    <w:p>
      <w:r>
        <w:t xml:space="preserve">东洋橡胶工业株式会社(Toyo Tire &amp; Rubber Co.)日前向美国国际贸易委员会(ITC)提起诉讼，指控20余家轮胎制造商、进口商及销售商在美国进口或销售轮胎时侵犯了该公司的专利，这些厂商中包含中国厂商。</w:t>
      </w:r>
    </w:p>
    <w:p>
      <w:r>
        <w:t xml:space="preserve">东洋公司称，这些公司侵犯其专利胎面和胎侧设计。东洋表示，这些在中国和泰国制造的轮胎，侵犯了东洋和日东轮胎品牌设计产权。东洋公司要求贸易机构阻止美国进口侵犯其权利的轮胎。</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行业"/>
      <w:bookmarkEnd w:id="56"/>
      <w:r>
        <w:t xml:space="preserve">行业</w:t>
      </w:r>
    </w:p>
    <w:p>
      <w:pPr>
        <w:pStyle w:val="Heading3"/>
      </w:pPr>
      <w:bookmarkStart w:id="57" w:name="国务院发布关于促进信息消费扩大内需的若干意见"/>
      <w:bookmarkEnd w:id="57"/>
      <w:r>
        <w:t xml:space="preserve">国务院发布关于促进信息消费扩大内需的若干意见</w:t>
      </w:r>
    </w:p>
    <w:p>
      <w:r>
        <w:t xml:space="preserve">国务院办公厅近日发布关于促进信息消费扩大内需的若干意见，意见提出：</w:t>
      </w:r>
    </w:p>
    <w:p>
      <w:r>
        <w:t xml:space="preserve">通过三路径加快信息基础设施演进升级：1.完善宽带网络基础设施；2.统筹推进移动通信发展；3.全面推进三网融合。</w:t>
      </w:r>
    </w:p>
    <w:p>
      <w:r>
        <w:t xml:space="preserve">通过三方面增强信息产品供给能力：1.鼓励智能终端产品创新发展；2.增强电子基础产业创新能力；3.提升软件业支撑服务水平。</w:t>
      </w:r>
    </w:p>
    <w:p>
      <w:r>
        <w:t xml:space="preserve">通过拓展新兴信息服务业态、丰富信息消费内容、拓宽电子商务发展空间三方面来培育信息消费需求。</w:t>
      </w:r>
    </w:p>
    <w:p>
      <w:r>
        <w:t xml:space="preserve">通过促进公共信息资源共享和开发利用、提升民生领域信息服务水平、加快智能城市建设三方面来提升公共服务信息化水平。</w:t>
      </w:r>
    </w:p>
    <w:p>
      <w:r>
        <w:t xml:space="preserve">通过四方面加强信息消费环境建设：1.构建安全可信的信息消费环境基础；2.提升信息安全保障能力；3.加强个人信息保护；4.规范信息消费市场秩序。</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中国互联网大会在京开幕"/>
      <w:bookmarkEnd w:id="60"/>
      <w:r>
        <w:t xml:space="preserve">中国互联网大会在京开幕</w:t>
      </w:r>
    </w:p>
    <w:p>
      <w:r>
        <w:t xml:space="preserve">2013年中国互联网大会于8月13日在北京国际会议中心开幕。会议将关注移动互联网、电子商务、互联网金融、大数据、云计算、物联网等多个热门领域。工业和信息化部副部长尚冰在中国互联网大会开幕式上说，信息消费已经成为引领消费、扩大内需、提振经济的新动力。信息消费的拓展离不开网络的进步。近年来，互联网从单一的信息传播渠道跃升为经济、社会发展的关键性基础设施，在带动传统产业转型升级，提升经济社会服务水平，改善人民群众生活质量等方面发挥了越来越突出的作用，也呈现出了新的特点。尚冰表示，工信部将进一步完善信息基础设施，加快推动互联网技术业务的创新和应用，同时发挥主导作用，推进和加强网络安全、数据安全、个人隐私保护等方面的法律法规和制度建设，加大治理与打击力度，保障网民上网安全。</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银监会发布商业银行内部评级法补充监管要求"/>
      <w:bookmarkEnd w:id="63"/>
      <w:r>
        <w:t xml:space="preserve">银监会发布商业银行内部评级法补充监管要求</w:t>
      </w:r>
    </w:p>
    <w:p>
      <w:r>
        <w:t xml:space="preserve">于今年年初正式实施的《商业银行资本管理办法（试行）》允许商业银行采用内部评级法计量信用风险资本要求。为此，多家银行为了提高资本监管的风险敏感度和灵活性，也纷纷向监管部门申请实施高级内部评级法。为了确保信用风险加权资产计量的审慎性，银监会于近期制定发布了包括《关于商业银行实施内部评级法的补充监管要求》（以下简称《补充监管要求》）等在内的多个资本监管配套政策文件。《商业银行资本管理办法（试行）》发布以来，资本监管国际规则有了新的变化，国内商业银行在实施过程中也希望对部分原则性规定予以进一步明确。《补充监管要求》的发布目的也在于增强资本监管的有效性，提升商业银行风险管理能力，强化市场约束功能。</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分布式发电项目建设或发电可获补贴"/>
      <w:bookmarkEnd w:id="66"/>
      <w:r>
        <w:t xml:space="preserve">分布式发电项目建设或发电可获补贴</w:t>
      </w:r>
    </w:p>
    <w:p>
      <w:r>
        <w:t xml:space="preserve">发改委近日发布《分布式发电管理暂行办法》,对符合条件的分布式发电给予建设资金补贴或单位发电量补贴,建设资金补贴方式仅限于电力普遍服务范围。享受建设资金补贴的,不再给予单位发电量补贴。</w:t>
      </w:r>
    </w:p>
    <w:p>
      <w:r>
        <w:t xml:space="preserve">分布式发电以自发自用为主,多余电量上网,电网调剂余缺,采用双向计量电量结算或净电量结算的方式,并可考虑峰谷电价因素。结算周期在合同中商定,原则上按月结算。</w:t>
      </w:r>
    </w:p>
    <w:p>
      <w:r>
        <w:t xml:space="preserve">电网企业应保证分布式发电多余电量的优先上网和全额收购。享受补贴的分布式发电包括风力发电、太阳能发电、生物质发电、地热发电、海洋能发电等新能源发电。</w:t>
      </w:r>
    </w:p>
    <w:p>
      <w:r>
        <w:t xml:space="preserve">《暂行办法》鼓励企业、专业化能源服务公司和包括个人在内的各类电力用户投资建设并经营分布式发电项目,豁免分布式发电项目发电业务许可。</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房地产"/>
      <w:bookmarkEnd w:id="69"/>
      <w:r>
        <w:t xml:space="preserve">房地产</w:t>
      </w:r>
    </w:p>
    <w:p>
      <w:pPr>
        <w:pStyle w:val="Heading3"/>
      </w:pPr>
      <w:bookmarkStart w:id="70" w:name="住建部增补全国重点镇-新型城镇化加速布局"/>
      <w:bookmarkEnd w:id="70"/>
      <w:r>
        <w:t xml:space="preserve">住建部增补全国重点镇 新型城镇化加速布局</w:t>
      </w:r>
    </w:p>
    <w:p>
      <w:r>
        <w:t xml:space="preserve">继近日公布了2013年国家智能城市试点名单，日前住建部等七部委又联合印发了《住房城乡建设部等部门关于开展全国重点镇增补调整工作的通知》，决定对2004年公布的全国重点镇进行增补调整，并提出了各县（市）至少有1个重点发展镇列为全国重点镇的目标。住建部称，此举意在为适应新型城镇化发展要求，进一步实施有重点地发展小城镇的战略。</w:t>
      </w:r>
    </w:p>
    <w:p>
      <w:r>
        <w:t xml:space="preserve">通知表示，全国重点镇区位优势明显、产业人口集聚能力较强，是县（市）域中心和副中心，在县（市）域经济社会发展中起着核心的作用。通过增补调整确定一批全国重点镇，支持加快发展，可以为全国的小城镇健康、持续发展提供示范；有利于增加投资需求和拉动内需增长，加快发展壮大县域经济；有利于有效转移农村人口和缓解大中城市压力，促进大中小城市和小城镇协调发展；有利于增强服务城市和辐射农村的功能，推动地区城乡经济社会一体化发展。</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港交所上市企业今日竞拍前海土地"/>
      <w:bookmarkEnd w:id="73"/>
      <w:r>
        <w:t xml:space="preserve">港交所上市企业今日竞拍前海土地</w:t>
      </w:r>
    </w:p>
    <w:p>
      <w:r>
        <w:t xml:space="preserve">深圳前海首批土地出让中的第三幅地块定于16日拍卖。公开信息显示，该地块建筑面积50.3万平方米，出让起始价为67.2亿元，竞买人须为香港联交所上市企业。市场人士称，该地块拍卖面积比7月拍卖的两宗土地面积大，最终成交价可能接近百亿元，预计竞争将异常激烈。</w:t>
      </w:r>
    </w:p>
    <w:p>
      <w:r>
        <w:t xml:space="preserve">6月25日，前海管理局发布《前海土地供应暂行办法》和前海首批3宗地块的土地使用权出让公告，以一次竞价方式公开挂牌地块使用权，前海土地出让进入实质性启动阶段。7月26日，两宗地块完成挂牌出让，卓越置业分别以51.89亿元和71.8亿元的价格竞得。</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2"/>
      </w:pPr>
      <w:bookmarkStart w:id="76" w:name="wto"/>
      <w:bookmarkEnd w:id="76"/>
      <w:r>
        <w:t xml:space="preserve">WTO</w:t>
      </w:r>
    </w:p>
    <w:p>
      <w:pPr>
        <w:pStyle w:val="Heading3"/>
      </w:pPr>
      <w:bookmarkStart w:id="77" w:name="商务部对原产于印度的进口单模光纤发起反倾销调查"/>
      <w:bookmarkEnd w:id="77"/>
      <w:r>
        <w:t xml:space="preserve">商务部对原产于印度的进口单模光纤发起反倾销调查</w:t>
      </w:r>
    </w:p>
    <w:p>
      <w:r>
        <w:t xml:space="preserve">商务部8月14日发布公告，决定自2013年8月14日起对原产于印度的进口单模光纤进行反倾销立案调查。</w:t>
      </w:r>
    </w:p>
    <w:p>
      <w:r>
        <w:t xml:space="preserve">据悉，商务部于2013年6月18日收到江苏法尔胜光子有限公司等(以下称申请人)代表国内单模光纤产业提交的反倾销调查申请，申请人请求对原产于印度的进口单模光纤进行反倾销调查。</w:t>
      </w:r>
    </w:p>
    <w:p>
      <w:r>
        <w:t xml:space="preserve">商务部依据《中华人民共和国反倾销条例》有关规定，对有关情况等进行了审查。根据审查结果及相关规定，商务部决定自2013年8月14日起对原产于印度的进口单模光纤进行反倾销立案调查。</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2"/>
      </w:pPr>
      <w:bookmarkStart w:id="80" w:name="税收"/>
      <w:bookmarkEnd w:id="80"/>
      <w:r>
        <w:t xml:space="preserve">税收</w:t>
      </w:r>
    </w:p>
    <w:p>
      <w:pPr>
        <w:pStyle w:val="Heading3"/>
      </w:pPr>
      <w:bookmarkStart w:id="81" w:name="进口航空燃油恢复征收增值税"/>
      <w:bookmarkEnd w:id="81"/>
      <w:r>
        <w:t xml:space="preserve">进口航空燃油恢复征收增值税</w:t>
      </w:r>
    </w:p>
    <w:p>
      <w:r>
        <w:t xml:space="preserve">8月13日，中国财政部和国税总局联合发出《关于停止执行民航国际航班使用进口保税航空燃油政策的通知》，决定今年8月1日起，对中国航空油料有限责任公司在北京首都国际机场、天津滨海国际机场、广州新白云国际机场、重庆江北国际机场等11个机场设立的航空油料保税仓库销售给民航国际航班的进口保税航空燃油“恢复征收增值税”。</w:t>
      </w:r>
    </w:p>
    <w:p>
      <w:r>
        <w:t xml:space="preserve">《通知》还称，上海浦东国际机场航空油料有限责任公司在上海浦东国际机场设立的航空油料保税仓库、深圳承远航空油料有限公司在深圳宝安国际机场设立的航空油料保税仓库亦将执行上述决定。</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2"/>
      </w:pPr>
      <w:bookmarkStart w:id="84" w:name="其它"/>
      <w:bookmarkEnd w:id="84"/>
      <w:r>
        <w:t xml:space="preserve">其它</w:t>
      </w:r>
    </w:p>
    <w:p>
      <w:pPr>
        <w:pStyle w:val="Heading3"/>
      </w:pPr>
      <w:bookmarkStart w:id="85" w:name="商务部审议并通过商品现货市场交易特别规定试行融资租赁企业监督管理办法"/>
      <w:bookmarkEnd w:id="85"/>
      <w:r>
        <w:t xml:space="preserve">商务部审议并通过商品现货市场交易特别规定（试行）、融资租赁企业监督管理办法</w:t>
      </w:r>
    </w:p>
    <w:p>
      <w:r>
        <w:t xml:space="preserve">商务部部长高虎城8月15日主持召开商务部第7次部务会议，审议并原则通过《商品现货市场交易特别规定（试行）（草案）》和《融资租赁企业监督管理办法（送审稿）》。</w:t>
      </w:r>
    </w:p>
    <w:p>
      <w:r>
        <w:t xml:space="preserve">会议指出，《商品现货市场交易特别规定（试行）》确立了商务部、人民银行和证监会对商品现货市场交易的联合监管机制，明确了监管职责，将在加强商品现货市场行业管理、规范商品现货市场交易对象和方式、创造良好市场秩序等方面发挥积极作用。会议要求，要抓紧制定配套措施，并以规章的出台为契机，进一步加强行业管理，完善市场体系建设。</w:t>
      </w:r>
    </w:p>
    <w:p>
      <w:r>
        <w:t xml:space="preserve">会议强调，融资租赁具有一定的类金融业务属性，必须重视监管引导、加强风险防控，《融资租赁企业监督管理办法》的出台十分必要，是回应融资租赁行业迅速发展的趋势，统一内外资融资租赁企业监管制度、依法履行监管职责的重要举措。会议要求，要切实抓好贯彻落实工作，指导地方商务主管部门认真开展行业监管，加强信息统计工作，做好融资租赁行业的引导、监督管理和服务工作，促进行业健康发展。</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上海老凤祥等五家金店因价格垄断被罚千万"/>
      <w:bookmarkEnd w:id="88"/>
      <w:r>
        <w:t xml:space="preserve">上海老凤祥等五家金店因价格垄断被罚千万</w:t>
      </w:r>
    </w:p>
    <w:p>
      <w:r>
        <w:t xml:space="preserve">根据国家发展改革委的要求，上海市物价局对上海黄金饰品行业协会组织部分金店垄断黄、铂金饰品立案查处。经查实，行业协会组织老凤祥银楼、老庙、亚一、城隍珠宝、天宝龙凤等金店召开会长会议，商议制定《上海黄金饰品行业黄金、铂金饰品价格自律实施细则》，约定了黄、铂金饰品零售价的测算方式、测算公式和定价浮动幅度。老凤祥银楼、老庙、亚一、城隍珠宝、天宝龙凤五家金店依据《价格自律细则》规定的测算公式，在规定的浮动范围内制定公司黄、铂金饰品零售牌价，操纵黄、铂金饰品价格，损害了其他经营者和消费者的合法权益。</w:t>
      </w:r>
    </w:p>
    <w:p>
      <w:r>
        <w:t xml:space="preserve">发展改革委称，上海黄金饰品行业协会的上述行为违反了《反垄断法》第十六条的规定，五家金店的行为违反了《反垄断法》第十三条的规定。上海市物价局依据《反垄断法》第四十六条对行业协会处以最高50万元罚款，对五家金店处以上一年度相关销售额1%的罚款，共计人民币1009.37万元。</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Heading3"/>
      </w:pPr>
      <w:bookmarkStart w:id="91" w:name="工商总局部署开展不正当竞争专项治理活动"/>
      <w:bookmarkEnd w:id="91"/>
      <w:r>
        <w:t xml:space="preserve">工商总局部署开展不正当竞争专项治理活动</w:t>
      </w:r>
    </w:p>
    <w:p>
      <w:r>
        <w:t xml:space="preserve">为贯彻落实党的群众路线教育实践活动的部署和要求，着力解决当前经济社会生活中人民群众关心、社会关注的热点问题，为经济持续健康发展营造良好的市场竞争环境，国家工商总局日前向全系统发出通知，决定自8月15日起至11月底，在全国范围内开展不正当竞争专项治理行动。</w:t>
      </w:r>
    </w:p>
    <w:p>
      <w:r>
        <w:t xml:space="preserve">通知要求各地工商机关在专项行动中从整治损害人民群众切身利益的不正当竞争行为入手，“坚持什么问题突出就解决什么问题，什么问题紧迫就抓紧解决什么问题”，突出重点，严厉打击，强化规范，注重成效，把教育实践活动的成效体现在推动发展和改善民生上，切实维护经营者、消费者合法权益，维护市场秩序。</w:t>
      </w:r>
    </w:p>
    <w:p>
      <w:hyperlink r:id="rId92">
        <w:r>
          <w:rPr>
            <w:rStyle w:val="Link"/>
          </w:rPr>
          <w:t xml:space="preserve">来源</w:t>
        </w:r>
      </w:hyperlink>
      <w:r>
        <w:t xml:space="preserve"> </w:t>
      </w:r>
      <w:r>
        <w:t xml:space="preserve">(</w:t>
      </w:r>
      <w:hyperlink r:id="rId93">
        <w:r>
          <w:rPr>
            <w:rStyle w:val="Link"/>
          </w:rPr>
          <w:t xml:space="preserve">副本</w:t>
        </w:r>
      </w:hyperlink>
      <w:r>
        <w:t xml:space="preserve">)</w:t>
      </w:r>
    </w:p>
    <w:p>
      <w:pPr>
        <w:pStyle w:val="Heading3"/>
      </w:pPr>
      <w:bookmarkStart w:id="94" w:name="国家发展改革委财政部发出关于降低部分行政事业性收费标准的通知"/>
      <w:bookmarkEnd w:id="94"/>
      <w:r>
        <w:t xml:space="preserve">国家发展改革委、财政部发出《关于降低部分行政事业性收费标准的通知》</w:t>
      </w:r>
    </w:p>
    <w:p>
      <w:r>
        <w:t xml:space="preserve">近日，国家发展改革委、财政部发出《关于降低部分行政事业性收费标准的通知》，决定自2013年10月1日起，降低14个部门20个行政事业性收费项目的收费标准。</w:t>
      </w:r>
    </w:p>
    <w:p>
      <w:r>
        <w:t xml:space="preserve">此次《通知》降低的收费标准主要涉及公安、司法、交通、农业、工商等部门，具体包括机动车抵押登记费、因私护照费（因丢失补发护照）、长江干线船舶引航费、公证费（证明财产继承、赠与、接受遗赠）、国内植物检疫费、农机产品测试检验费、商标注册收费以及翻译专业资格、专利代理人资格、卫生专业技术资格等部分考试考务费等。通知》要求各省（区、市）价格、财政部门结合通知精神，对按规定权限由本地区制定的行政事业性收费标准进行全面梳理和审核，降低偏高的收费标准，于9月底前将降低后的收费标准通过政府网站和新闻媒体向社会公布。</w:t>
      </w:r>
    </w:p>
    <w:p>
      <w:hyperlink r:id="rId95">
        <w:r>
          <w:rPr>
            <w:rStyle w:val="Link"/>
          </w:rPr>
          <w:t xml:space="preserve">来源</w:t>
        </w:r>
      </w:hyperlink>
      <w:r>
        <w:t xml:space="preserve"> </w:t>
      </w:r>
      <w:r>
        <w:t xml:space="preserve">(</w:t>
      </w:r>
      <w:hyperlink r:id="rId96">
        <w:r>
          <w:rPr>
            <w:rStyle w:val="Link"/>
          </w:rPr>
          <w:t xml:space="preserve">副本</w:t>
        </w:r>
      </w:hyperlink>
      <w:r>
        <w:t xml:space="preserve">)</w:t>
      </w:r>
    </w:p>
    <w:p>
      <w:pPr>
        <w:pStyle w:val="Heading3"/>
      </w:pPr>
      <w:bookmarkStart w:id="97" w:name="商务部附限制条件批准美国百特收购瑞典金宝"/>
      <w:bookmarkEnd w:id="97"/>
      <w:r>
        <w:t xml:space="preserve">商务部附限制条件批准美国百特收购瑞典金宝</w:t>
      </w:r>
    </w:p>
    <w:p>
      <w:r>
        <w:t xml:space="preserve">商务部网站13日发布公告，决定附加限制性条件批准美国百特国际有限公司收购瑞典金宝公司。</w:t>
      </w:r>
    </w:p>
    <w:p>
      <w:r>
        <w:t xml:space="preserve">此项交易收购方美国百特是纽约证券交易所上市公司，主要从事治疗血友病、免疫系统紊乱疾病、肾科疾病等产品的研发、生产与销售。被收购方金宝于１９４２年在瑞典注册成立，是一家跨国医疗技术公司，主要从事肾脏和肝脏透析、骨髓瘤肾治疗以及其它慢性和重症患者的体外疗法产品的研发、生产与销售。</w:t>
      </w:r>
    </w:p>
    <w:p>
      <w:r>
        <w:t xml:space="preserve">对于此项并购交易，商务部认为需要从全球范围分析对市场竞争的影响，同时考察了此交易可能对中国境内市场竞争的影响，认为其在持续肾脏替代治疗商品（ＣＲＲＴ系列商品）市场和血透透析器市场可能具有排除、限制竞争的效果，决定附加限制性条件批准此项经营者集中。</w:t>
      </w:r>
    </w:p>
    <w:p>
      <w:r>
        <w:t xml:space="preserve">根据我国反垄断法的规定，在中国境外的垄断行为，对境内市场竞争产生排除、限制影响的，适用我国的反垄断法。</w:t>
      </w:r>
    </w:p>
    <w:p>
      <w:hyperlink r:id="rId98">
        <w:r>
          <w:rPr>
            <w:rStyle w:val="Link"/>
          </w:rPr>
          <w:t xml:space="preserve">来源</w:t>
        </w:r>
      </w:hyperlink>
      <w:r>
        <w:t xml:space="preserve"> </w:t>
      </w:r>
      <w:r>
        <w:t xml:space="preserve">(</w:t>
      </w:r>
      <w:hyperlink r:id="rId99">
        <w:r>
          <w:rPr>
            <w:rStyle w:val="Link"/>
          </w:rPr>
          <w:t xml:space="preserve">副本</w:t>
        </w:r>
      </w:hyperlink>
      <w:r>
        <w:t xml:space="preserve">)</w:t>
      </w:r>
    </w:p>
    <w:p>
      <w:pPr>
        <w:pStyle w:val="Heading3"/>
      </w:pPr>
      <w:bookmarkStart w:id="100" w:name="发改委推进行政审批方式创新"/>
      <w:bookmarkEnd w:id="100"/>
      <w:r>
        <w:t xml:space="preserve">发改委：推进行政审批方式创新</w:t>
      </w:r>
    </w:p>
    <w:p>
      <w:r>
        <w:t xml:space="preserve">发改委8月14日发文称,对于保留的行政审批事项,将按照进一步简化手续、优化程序、在线运行、限时办结的要求,推进行政审批方式创新。</w:t>
      </w:r>
    </w:p>
    <w:p>
      <w:r>
        <w:t xml:space="preserve">一是逐项梳理审批条件和审批规则,逐项细化行政审批事项的审核、核准、认定的标准和条件;二是梳理审批前置条件,研究提出可以取消或精简内容的前置条件,在此基础上,逐项研究提出精简审批前置条件的改进意见和措施;三是梳理现行审批流程和审批环节,重点研究从受理到批复文件的整个审批流程中,可以取消、合并或者“并联”进行的环节;四是梳理现行审批环节占用的工作时间,研究提出可以缩短的审批时间、每个审批环节的具体时限;五是提出简化手续、优化程序的具体改进意见和措施。</w:t>
      </w:r>
    </w:p>
    <w:p>
      <w:hyperlink r:id="rId101">
        <w:r>
          <w:rPr>
            <w:rStyle w:val="Link"/>
          </w:rPr>
          <w:t xml:space="preserve">来源</w:t>
        </w:r>
      </w:hyperlink>
      <w:r>
        <w:t xml:space="preserve"> </w:t>
      </w:r>
      <w:r>
        <w:t xml:space="preserve">(</w:t>
      </w:r>
      <w:hyperlink r:id="rId10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03">
        <w:r>
          <w:rPr>
            <w:rStyle w:val="Link"/>
          </w:rPr>
          <w:t xml:space="preserve">unsubscribe@charltonslaw.com</w:t>
        </w:r>
      </w:hyperlink>
    </w:p>
    <w:p>
      <w:r>
        <w:rPr>
          <w:b/>
        </w:rPr>
        <w:t xml:space="preserve">易周律师行 - 法讯 - 中国 - 第367期 - 2013年08月19日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40155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5" Target="1_4.pdf" TargetMode="External" /><Relationship Type="http://schemas.openxmlformats.org/officeDocument/2006/relationships/hyperlink" Id="rId38" Target="1_5.pdf" TargetMode="External" /><Relationship Type="http://schemas.openxmlformats.org/officeDocument/2006/relationships/hyperlink" Id="rId41" Target="1_6.pdf" TargetMode="External" /><Relationship Type="http://schemas.openxmlformats.org/officeDocument/2006/relationships/hyperlink" Id="rId45" Target="2_1.pdf" TargetMode="External" /><Relationship Type="http://schemas.openxmlformats.org/officeDocument/2006/relationships/hyperlink" Id="rId48" Target="2_2.pdf" TargetMode="External" /><Relationship Type="http://schemas.openxmlformats.org/officeDocument/2006/relationships/hyperlink" Id="rId51" Target="2_3.pdf" TargetMode="External" /><Relationship Type="http://schemas.openxmlformats.org/officeDocument/2006/relationships/hyperlink" Id="rId55" Target="3_1.pdf" TargetMode="External" /><Relationship Type="http://schemas.openxmlformats.org/officeDocument/2006/relationships/hyperlink" Id="rId59" Target="4_1.pdf" TargetMode="External" /><Relationship Type="http://schemas.openxmlformats.org/officeDocument/2006/relationships/hyperlink" Id="rId62" Target="4_2.pdf" TargetMode="External" /><Relationship Type="http://schemas.openxmlformats.org/officeDocument/2006/relationships/hyperlink" Id="rId65" Target="4_3.pdf" TargetMode="External" /><Relationship Type="http://schemas.openxmlformats.org/officeDocument/2006/relationships/hyperlink" Id="rId68" Target="4_4.pdf" TargetMode="External" /><Relationship Type="http://schemas.openxmlformats.org/officeDocument/2006/relationships/hyperlink" Id="rId72" Target="5_1.pdf" TargetMode="External" /><Relationship Type="http://schemas.openxmlformats.org/officeDocument/2006/relationships/hyperlink" Id="rId75" Target="5_2.pdf" TargetMode="External" /><Relationship Type="http://schemas.openxmlformats.org/officeDocument/2006/relationships/hyperlink" Id="rId79" Target="6_1.pdf" TargetMode="External" /><Relationship Type="http://schemas.openxmlformats.org/officeDocument/2006/relationships/hyperlink" Id="rId83" Target="7_1.pdf" TargetMode="External" /><Relationship Type="http://schemas.openxmlformats.org/officeDocument/2006/relationships/hyperlink" Id="rId87" Target="8_1.pdf" TargetMode="External" /><Relationship Type="http://schemas.openxmlformats.org/officeDocument/2006/relationships/hyperlink" Id="rId90" Target="8_2.pdf" TargetMode="External" /><Relationship Type="http://schemas.openxmlformats.org/officeDocument/2006/relationships/hyperlink" Id="rId93" Target="8_3.pdf" TargetMode="External" /><Relationship Type="http://schemas.openxmlformats.org/officeDocument/2006/relationships/hyperlink" Id="rId96" Target="8_4.pdf" TargetMode="External" /><Relationship Type="http://schemas.openxmlformats.org/officeDocument/2006/relationships/hyperlink" Id="rId99" Target="8_5.pdf" TargetMode="External" /><Relationship Type="http://schemas.openxmlformats.org/officeDocument/2006/relationships/hyperlink" Id="rId102" Target="8_6.pdf" TargetMode="External" /><Relationship Type="http://schemas.openxmlformats.org/officeDocument/2006/relationships/hyperlink" Id="rId82" Target="http://finance.sina.com.cn/chanjing/cyxw/20130814/013916437104.shtml" TargetMode="External" /><Relationship Type="http://schemas.openxmlformats.org/officeDocument/2006/relationships/hyperlink" Id="rId54" Target="http://finance.sina.com.cn/chanjing/gsnews/20130816/092416469925.shtml" TargetMode="External" /><Relationship Type="http://schemas.openxmlformats.org/officeDocument/2006/relationships/hyperlink" Id="rId64" Target="http://kuaixun.stcn.com/2013/0813/10672447_3.shtml" TargetMode="External" /><Relationship Type="http://schemas.openxmlformats.org/officeDocument/2006/relationships/hyperlink" Id="rId34" Target="http://kuaixun.stcn.com/2013/0813/10673708.shtml" TargetMode="External" /><Relationship Type="http://schemas.openxmlformats.org/officeDocument/2006/relationships/hyperlink" Id="rId44" Target="http://kuaixun.stcn.com/2013/0813/10674166.shtml" TargetMode="External" /><Relationship Type="http://schemas.openxmlformats.org/officeDocument/2006/relationships/hyperlink" Id="rId50" Target="http://kuaixun.stcn.com/2013/0814/10675194_3.shtml" TargetMode="External" /><Relationship Type="http://schemas.openxmlformats.org/officeDocument/2006/relationships/hyperlink" Id="rId61" Target="http://kuaixun.stcn.com/2013/0814/10675293.shtml" TargetMode="External" /><Relationship Type="http://schemas.openxmlformats.org/officeDocument/2006/relationships/hyperlink" Id="rId67" Target="http://kuaixun.stcn.com/2013/0815/10678106_14.shtml" TargetMode="External" /><Relationship Type="http://schemas.openxmlformats.org/officeDocument/2006/relationships/hyperlink" Id="rId101" Target="http://kuaixun.stcn.com/2013/0815/10678106_4.shtml" TargetMode="External" /><Relationship Type="http://schemas.openxmlformats.org/officeDocument/2006/relationships/hyperlink" Id="rId47" Target="http://kuaixun.stcn.com/2013/0815/10678182_2.shtml" TargetMode="External" /><Relationship Type="http://schemas.openxmlformats.org/officeDocument/2006/relationships/hyperlink" Id="rId74" Target="http://kuaixun.stcn.com/2013/0816/10681199_19.shtml" TargetMode="External" /><Relationship Type="http://schemas.openxmlformats.org/officeDocument/2006/relationships/hyperlink" Id="rId40" Target="http://kuaixun.stcn.com/2013/0816/10681283_9.shtml" TargetMode="External" /><Relationship Type="http://schemas.openxmlformats.org/officeDocument/2006/relationships/hyperlink" Id="rId98" Target="http://news.xinhuanet.com/fortune/2013-08/13/c_116930080.htm" TargetMode="External" /><Relationship Type="http://schemas.openxmlformats.org/officeDocument/2006/relationships/hyperlink" Id="rId31" Target="http://news.xinhuanet.com/fortune/2013-08/15/c_125174267.htm" TargetMode="External" /><Relationship Type="http://schemas.openxmlformats.org/officeDocument/2006/relationships/hyperlink" Id="rId71" Target="http://news.xinhuanet.com/fortune/2013-08/15/c_125174541.htm" TargetMode="External" /><Relationship Type="http://schemas.openxmlformats.org/officeDocument/2006/relationships/hyperlink" Id="rId37" Target="http://news.xinhuanet.com/fortune/2013-08/16/c_125181564.htm" TargetMode="External" /><Relationship Type="http://schemas.openxmlformats.org/officeDocument/2006/relationships/hyperlink" Id="rId89" Target="http://www.21cbh.com/2013/8-13/4NMzA3Xzc0MDk4Ng.html" TargetMode="External" /><Relationship Type="http://schemas.openxmlformats.org/officeDocument/2006/relationships/hyperlink" Id="rId21" Target="http://www.charltonslaw.com.cn/china-news-alerts-cn-issue-367/" TargetMode="External" /><Relationship Type="http://schemas.openxmlformats.org/officeDocument/2006/relationships/hyperlink" Id="rId28" Target="http://www.csrc.gov.cn/pub/newsite/bgt/xwdd/201308/t20130809_232377.htm" TargetMode="External" /><Relationship Type="http://schemas.openxmlformats.org/officeDocument/2006/relationships/hyperlink" Id="rId25" Target="http://www.csrc.gov.cn/pub/newsite/bgt/xwdd/201308/t20130809_232380.htm" TargetMode="External" /><Relationship Type="http://schemas.openxmlformats.org/officeDocument/2006/relationships/hyperlink" Id="rId58" Target="http://www.gov.cn/zwgk/2013-08/14/content_2466856.htm" TargetMode="External" /><Relationship Type="http://schemas.openxmlformats.org/officeDocument/2006/relationships/hyperlink" Id="rId78" Target="http://www.mofcom.gov.cn/article/ae/ai/201308/20130800245503.shtml" TargetMode="External" /><Relationship Type="http://schemas.openxmlformats.org/officeDocument/2006/relationships/hyperlink" Id="rId86" Target="http://www.mofcom.gov.cn/article/ae/ai/201308/20130800250407.shtml" TargetMode="External" /><Relationship Type="http://schemas.openxmlformats.org/officeDocument/2006/relationships/hyperlink" Id="rId92" Target="http://www.saic.gov.cn/ywdt/gsyw/zjyw/xxb/201308/t20130815_137313.html" TargetMode="External" /><Relationship Type="http://schemas.openxmlformats.org/officeDocument/2006/relationships/hyperlink" Id="rId95" Target="http://www.sdpc.gov.cn/xwfb/t20130813_553367.htm" TargetMode="External" /><Relationship Type="http://schemas.openxmlformats.org/officeDocument/2006/relationships/hyperlink" Id="rId10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5" Target="1_4.pdf" TargetMode="External" /><Relationship Type="http://schemas.openxmlformats.org/officeDocument/2006/relationships/hyperlink" Id="rId38" Target="1_5.pdf" TargetMode="External" /><Relationship Type="http://schemas.openxmlformats.org/officeDocument/2006/relationships/hyperlink" Id="rId41" Target="1_6.pdf" TargetMode="External" /><Relationship Type="http://schemas.openxmlformats.org/officeDocument/2006/relationships/hyperlink" Id="rId45" Target="2_1.pdf" TargetMode="External" /><Relationship Type="http://schemas.openxmlformats.org/officeDocument/2006/relationships/hyperlink" Id="rId48" Target="2_2.pdf" TargetMode="External" /><Relationship Type="http://schemas.openxmlformats.org/officeDocument/2006/relationships/hyperlink" Id="rId51" Target="2_3.pdf" TargetMode="External" /><Relationship Type="http://schemas.openxmlformats.org/officeDocument/2006/relationships/hyperlink" Id="rId55" Target="3_1.pdf" TargetMode="External" /><Relationship Type="http://schemas.openxmlformats.org/officeDocument/2006/relationships/hyperlink" Id="rId59" Target="4_1.pdf" TargetMode="External" /><Relationship Type="http://schemas.openxmlformats.org/officeDocument/2006/relationships/hyperlink" Id="rId62" Target="4_2.pdf" TargetMode="External" /><Relationship Type="http://schemas.openxmlformats.org/officeDocument/2006/relationships/hyperlink" Id="rId65" Target="4_3.pdf" TargetMode="External" /><Relationship Type="http://schemas.openxmlformats.org/officeDocument/2006/relationships/hyperlink" Id="rId68" Target="4_4.pdf" TargetMode="External" /><Relationship Type="http://schemas.openxmlformats.org/officeDocument/2006/relationships/hyperlink" Id="rId72" Target="5_1.pdf" TargetMode="External" /><Relationship Type="http://schemas.openxmlformats.org/officeDocument/2006/relationships/hyperlink" Id="rId75" Target="5_2.pdf" TargetMode="External" /><Relationship Type="http://schemas.openxmlformats.org/officeDocument/2006/relationships/hyperlink" Id="rId79" Target="6_1.pdf" TargetMode="External" /><Relationship Type="http://schemas.openxmlformats.org/officeDocument/2006/relationships/hyperlink" Id="rId83" Target="7_1.pdf" TargetMode="External" /><Relationship Type="http://schemas.openxmlformats.org/officeDocument/2006/relationships/hyperlink" Id="rId87" Target="8_1.pdf" TargetMode="External" /><Relationship Type="http://schemas.openxmlformats.org/officeDocument/2006/relationships/hyperlink" Id="rId90" Target="8_2.pdf" TargetMode="External" /><Relationship Type="http://schemas.openxmlformats.org/officeDocument/2006/relationships/hyperlink" Id="rId93" Target="8_3.pdf" TargetMode="External" /><Relationship Type="http://schemas.openxmlformats.org/officeDocument/2006/relationships/hyperlink" Id="rId96" Target="8_4.pdf" TargetMode="External" /><Relationship Type="http://schemas.openxmlformats.org/officeDocument/2006/relationships/hyperlink" Id="rId99" Target="8_5.pdf" TargetMode="External" /><Relationship Type="http://schemas.openxmlformats.org/officeDocument/2006/relationships/hyperlink" Id="rId102" Target="8_6.pdf" TargetMode="External" /><Relationship Type="http://schemas.openxmlformats.org/officeDocument/2006/relationships/hyperlink" Id="rId82" Target="http://finance.sina.com.cn/chanjing/cyxw/20130814/013916437104.shtml" TargetMode="External" /><Relationship Type="http://schemas.openxmlformats.org/officeDocument/2006/relationships/hyperlink" Id="rId54" Target="http://finance.sina.com.cn/chanjing/gsnews/20130816/092416469925.shtml" TargetMode="External" /><Relationship Type="http://schemas.openxmlformats.org/officeDocument/2006/relationships/hyperlink" Id="rId64" Target="http://kuaixun.stcn.com/2013/0813/10672447_3.shtml" TargetMode="External" /><Relationship Type="http://schemas.openxmlformats.org/officeDocument/2006/relationships/hyperlink" Id="rId34" Target="http://kuaixun.stcn.com/2013/0813/10673708.shtml" TargetMode="External" /><Relationship Type="http://schemas.openxmlformats.org/officeDocument/2006/relationships/hyperlink" Id="rId44" Target="http://kuaixun.stcn.com/2013/0813/10674166.shtml" TargetMode="External" /><Relationship Type="http://schemas.openxmlformats.org/officeDocument/2006/relationships/hyperlink" Id="rId50" Target="http://kuaixun.stcn.com/2013/0814/10675194_3.shtml" TargetMode="External" /><Relationship Type="http://schemas.openxmlformats.org/officeDocument/2006/relationships/hyperlink" Id="rId61" Target="http://kuaixun.stcn.com/2013/0814/10675293.shtml" TargetMode="External" /><Relationship Type="http://schemas.openxmlformats.org/officeDocument/2006/relationships/hyperlink" Id="rId67" Target="http://kuaixun.stcn.com/2013/0815/10678106_14.shtml" TargetMode="External" /><Relationship Type="http://schemas.openxmlformats.org/officeDocument/2006/relationships/hyperlink" Id="rId101" Target="http://kuaixun.stcn.com/2013/0815/10678106_4.shtml" TargetMode="External" /><Relationship Type="http://schemas.openxmlformats.org/officeDocument/2006/relationships/hyperlink" Id="rId47" Target="http://kuaixun.stcn.com/2013/0815/10678182_2.shtml" TargetMode="External" /><Relationship Type="http://schemas.openxmlformats.org/officeDocument/2006/relationships/hyperlink" Id="rId74" Target="http://kuaixun.stcn.com/2013/0816/10681199_19.shtml" TargetMode="External" /><Relationship Type="http://schemas.openxmlformats.org/officeDocument/2006/relationships/hyperlink" Id="rId40" Target="http://kuaixun.stcn.com/2013/0816/10681283_9.shtml" TargetMode="External" /><Relationship Type="http://schemas.openxmlformats.org/officeDocument/2006/relationships/hyperlink" Id="rId98" Target="http://news.xinhuanet.com/fortune/2013-08/13/c_116930080.htm" TargetMode="External" /><Relationship Type="http://schemas.openxmlformats.org/officeDocument/2006/relationships/hyperlink" Id="rId31" Target="http://news.xinhuanet.com/fortune/2013-08/15/c_125174267.htm" TargetMode="External" /><Relationship Type="http://schemas.openxmlformats.org/officeDocument/2006/relationships/hyperlink" Id="rId71" Target="http://news.xinhuanet.com/fortune/2013-08/15/c_125174541.htm" TargetMode="External" /><Relationship Type="http://schemas.openxmlformats.org/officeDocument/2006/relationships/hyperlink" Id="rId37" Target="http://news.xinhuanet.com/fortune/2013-08/16/c_125181564.htm" TargetMode="External" /><Relationship Type="http://schemas.openxmlformats.org/officeDocument/2006/relationships/hyperlink" Id="rId89" Target="http://www.21cbh.com/2013/8-13/4NMzA3Xzc0MDk4Ng.html" TargetMode="External" /><Relationship Type="http://schemas.openxmlformats.org/officeDocument/2006/relationships/hyperlink" Id="rId21" Target="http://www.charltonslaw.com.cn/china-news-alerts-cn-issue-367/" TargetMode="External" /><Relationship Type="http://schemas.openxmlformats.org/officeDocument/2006/relationships/hyperlink" Id="rId28" Target="http://www.csrc.gov.cn/pub/newsite/bgt/xwdd/201308/t20130809_232377.htm" TargetMode="External" /><Relationship Type="http://schemas.openxmlformats.org/officeDocument/2006/relationships/hyperlink" Id="rId25" Target="http://www.csrc.gov.cn/pub/newsite/bgt/xwdd/201308/t20130809_232380.htm" TargetMode="External" /><Relationship Type="http://schemas.openxmlformats.org/officeDocument/2006/relationships/hyperlink" Id="rId58" Target="http://www.gov.cn/zwgk/2013-08/14/content_2466856.htm" TargetMode="External" /><Relationship Type="http://schemas.openxmlformats.org/officeDocument/2006/relationships/hyperlink" Id="rId78" Target="http://www.mofcom.gov.cn/article/ae/ai/201308/20130800245503.shtml" TargetMode="External" /><Relationship Type="http://schemas.openxmlformats.org/officeDocument/2006/relationships/hyperlink" Id="rId86" Target="http://www.mofcom.gov.cn/article/ae/ai/201308/20130800250407.shtml" TargetMode="External" /><Relationship Type="http://schemas.openxmlformats.org/officeDocument/2006/relationships/hyperlink" Id="rId92" Target="http://www.saic.gov.cn/ywdt/gsyw/zjyw/xxb/201308/t20130815_137313.html" TargetMode="External" /><Relationship Type="http://schemas.openxmlformats.org/officeDocument/2006/relationships/hyperlink" Id="rId95" Target="http://www.sdpc.gov.cn/xwfb/t20130813_553367.htm" TargetMode="External" /><Relationship Type="http://schemas.openxmlformats.org/officeDocument/2006/relationships/hyperlink" Id="rId10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第367期 - 2013年08月19日</dc:title>
  <dc:creator/>
</cp:coreProperties>
</file>