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第373期</w:t>
      </w:r>
      <w:r>
        <w:t xml:space="preserve"> </w:t>
      </w:r>
      <w:r>
        <w:t xml:space="preserve">-</w:t>
      </w:r>
      <w:r>
        <w:t xml:space="preserve"> </w:t>
      </w:r>
      <w:r>
        <w:t xml:space="preserve">2013年09月19日</w:t>
      </w:r>
    </w:p>
    <w:p>
      <w:hyperlink r:id="rId21">
        <w:r>
          <w:rPr>
            <w:rStyle w:val="Link"/>
          </w:rPr>
          <w:t xml:space="preserve">网络版</w:t>
        </w:r>
      </w:hyperlink>
    </w:p>
    <w:p>
      <w:pPr>
        <w:pStyle w:val="Heading1"/>
      </w:pPr>
      <w:bookmarkStart w:id="22" w:name="法讯中国第373期"/>
      <w:bookmarkEnd w:id="22"/>
      <w:r>
        <w:t xml:space="preserve">法讯中国第373期</w:t>
      </w:r>
    </w:p>
    <w:p>
      <w:pPr>
        <w:pStyle w:val="Heading2"/>
      </w:pPr>
      <w:bookmarkStart w:id="23" w:name="资本市场"/>
      <w:bookmarkEnd w:id="23"/>
      <w:r>
        <w:t xml:space="preserve">资本市场</w:t>
      </w:r>
    </w:p>
    <w:p>
      <w:pPr>
        <w:pStyle w:val="Heading3"/>
      </w:pPr>
      <w:bookmarkStart w:id="24" w:name="中国证监会发布关于上海期货交易所开展石油沥青期货交易并挂牌石油沥青期货合约的批复"/>
      <w:bookmarkEnd w:id="24"/>
      <w:r>
        <w:t xml:space="preserve">中国证监会发布《关于上海期货交易所开展石油沥青期货交易并挂牌石油沥青期货合约的批复》</w:t>
      </w:r>
    </w:p>
    <w:p>
      <w:r>
        <w:t xml:space="preserve">日前，中国证监会发布《关于上海期货交易所开展石油沥青期货交易并挂牌石油沥青期货合约的批复》（《批复》）。</w:t>
      </w:r>
    </w:p>
    <w:p>
      <w:r>
        <w:t xml:space="preserve">根据《批复》，证监会同意上海期货交易所开展石油沥青期货交易并挂牌石油沥青期货合约。石油沥青期货合约的具体挂牌时间由上期所根据市场状况及各项准备工作的进展情况确定。</w:t>
      </w:r>
    </w:p>
    <w:p>
      <w:r>
        <w:t xml:space="preserve">《批复》要求，在石油沥青期货上市后，上期所应当按照服务实体经济的根本要求，密切关注石油沥青现货市场状况，有效防范市场风险；加强对石油沥青期货的市场监控，切实履行好交易、结算、交割、监查等重要环节的监管和服务职责；加大市场培训和机构投资者培育工作力度，积极引进产业客户。</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义乌金改力促贸易金融创新"/>
      <w:bookmarkEnd w:id="27"/>
      <w:r>
        <w:t xml:space="preserve">义乌金改力促贸易金融创新</w:t>
      </w:r>
    </w:p>
    <w:p>
      <w:r>
        <w:t xml:space="preserve">浙江义乌市政府9月17日发布《金融改革专项方案》，标志着义乌金融专项改革启动。</w:t>
      </w:r>
    </w:p>
    <w:p>
      <w:r>
        <w:t xml:space="preserve">方案显示，义乌金改承担的主要任务包括七方面：一是完善金融组织体系建设；二是加快贸易金融产品创新；三是完善外汇管理机制；四是推动人民币跨境业务创新；五是发展壮大本外币兑换业务；六是促进民间资本服务实体经济；七是优化金融生态环境。</w:t>
      </w:r>
    </w:p>
    <w:p>
      <w:r>
        <w:t xml:space="preserve">义乌市市长何美华认为，较温州、丽水及珠三角等地区的金改而言，义乌金改的主要区别在于贸易金融领域的创新。义乌的金改创新主要体现在三方面，一是积极推动人民币跨境业务的创新；二是外汇管理和民间资本管理的创新；三是探索贸易金融新模式。义乌金改的三大创新，可以为义乌贸易结构的创新提供支撑。</w:t>
      </w:r>
    </w:p>
    <w:p>
      <w:r>
        <w:t xml:space="preserve">在何美华看来，人民币跨境业务的创新在义乌金改中显得尤为重要。方案显示，义乌将鼓励金融机构根据国际贸易发展需求，加强跨境贸易人民币结算服务力度。创新跨境人民币贸易融资产品，促进进出口贸易稳步增长。深化个人跨境贸易人民币结算业务试点，探索符合条件的个人直接以人民币结算进出口贸易。推动本地金融机构加强与境外金融机构、境内金融机构的境外分支机构建立长效合作机制。</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行业"/>
      <w:bookmarkEnd w:id="30"/>
      <w:r>
        <w:t xml:space="preserve">行业</w:t>
      </w:r>
    </w:p>
    <w:p>
      <w:pPr>
        <w:pStyle w:val="Heading3"/>
      </w:pPr>
      <w:bookmarkStart w:id="31" w:name="工业和信息化部发布光伏制造行业规范条件"/>
      <w:bookmarkEnd w:id="31"/>
      <w:r>
        <w:t xml:space="preserve">工业和信息化部发布《光伏制造行业规范条件》</w:t>
      </w:r>
    </w:p>
    <w:p>
      <w:r>
        <w:t xml:space="preserve">为进一步加强光伏制造行业管理，规范产业发展秩序，加快推进光伏产业转型升级，2013年9月16日，工业和信息化部发布《光伏制造行业规范条件》（《条件》），自发布之日起30 日后实施。</w:t>
      </w:r>
    </w:p>
    <w:p>
      <w:r>
        <w:t xml:space="preserve">《条件》对生产布局与项目设立、生产规模和工艺技术、资源综合利用及能耗、环境保护、质量管理等多个方面作出了要求。</w:t>
      </w:r>
    </w:p>
    <w:p>
      <w:r>
        <w:t xml:space="preserve">《条件》要求，光伏制造企业及项目应符合国家资源开发利用、环境保护、节能管理等法律法规要求，符合国家产业政策和相关产业规划及布局要求，符合当地土地利用总体规划、城市总体规划、环境功能区划和环境保护规划等要求。</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十大专项行动计划力推物联网发展"/>
      <w:bookmarkEnd w:id="34"/>
      <w:r>
        <w:t xml:space="preserve">十大专项行动计划力推物联网发展</w:t>
      </w:r>
    </w:p>
    <w:p>
      <w:r>
        <w:t xml:space="preserve">国家发改委近日会同多部委印发了《物联网发展专项行动计划（2013-2015）》。计划包含了顶层设计、标准制定、技术研发、应用推广、产业支撑、商业模式、安全保障、政府扶持、法律法规、人才培养10个专项行动计划。各个专项计划从各自角度，对2015年物联网行业将要达到的总体目标作出了规定。业内人士认为，考虑到未来物联网市场高速增长，短期可重点关注智慧城市相关概念板块。</w:t>
      </w:r>
    </w:p>
    <w:p>
      <w:r>
        <w:t xml:space="preserve">此次下发的行动计划中，顶层设计专项规划提出的总体目标是：到2015年，初步实现部门、行业、区域、军地之间的物联网发展相互协调，以及物联网应用推广、技术研发、标准制定、产业链构建、基础设施建设、信息安全保障、频谱资源分配等相互协调发展的局面，基本形成各环节协调发展、协同推进、相互支撑的发展效应。</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年我国全面实施国五标准-北京要求立即执行"/>
      <w:bookmarkEnd w:id="37"/>
      <w:r>
        <w:t xml:space="preserve">2018年我国全面实施国五标准 北京要求立即执行</w:t>
      </w:r>
    </w:p>
    <w:p>
      <w:r>
        <w:t xml:space="preserve">环保部9月17日发布《轻型汽车污染物排放限值及测量方法（中国第五阶段）》，国五标准全面实施日期为2018年1月1日，北京因已具备实施新标准的条件，要求立即执行国五标准。同时鼓励具备燃油供应条件的地方依法提前实施。</w:t>
      </w:r>
    </w:p>
    <w:p>
      <w:r>
        <w:t xml:space="preserve">国五标准实施方案进一步突出了“车、油适配”原则，轻型汽车自标准发布之日起可依据新标准进行型式核准；鼓励具备燃油供应条件的地方依法提前实施新标准。</w:t>
      </w:r>
    </w:p>
    <w:p>
      <w:r>
        <w:t xml:space="preserve">国五标准经环保部常务会议审议并原则通过。与现行的国家第四阶段轻型汽车污染物排放标准相比，国五标准进一步提高了排放控制要求，其中氮氧化物排放限值严格了25％－28％、颗粒物排放限值严格了82％，并增加了污染控制新指标颗粒物粒子数量。</w:t>
      </w:r>
    </w:p>
    <w:p>
      <w:r>
        <w:t xml:space="preserve">国五标准还加强了新车环保管理要求，将车辆排放考核里程延长一倍，提高了车载诊断系统的排放控制功能要求，增加了关键排放控制零部件（催化转化器、碳罐）检查要求，进一步完善了车辆在用符合性检查项目。相关负责人表示，国五标准排放控制水平相当于欧洲正在实施的第5阶段轻型车排放法规。</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城市基础设施建设将提速"/>
      <w:bookmarkEnd w:id="40"/>
      <w:r>
        <w:t xml:space="preserve">城市基础设施建设将提速</w:t>
      </w:r>
    </w:p>
    <w:p>
      <w:r>
        <w:t xml:space="preserve">9月16日，《国务院关于加强城市基础设施建设的意见》发布，要求各地围绕重点领域，促进城市基础设施水平全面提升，主要包括：加强城市道路交通基础设施建设、加大城市管网建设和改造力度、加快污水和垃圾处理设施建设、加强生态园林建设。</w:t>
      </w:r>
    </w:p>
    <w:p>
      <w:r>
        <w:t xml:space="preserve">《意见》提出，研究出台配套财政扶持政策，落实税收优惠政策，支持城市基础设施投融资体制改革。《意见》指出，确保政府投入，推进基础设施建设投融资体制和运营机制改革，进一步完善城市公用事业服务价格形成、调整和补偿机制。</w:t>
      </w:r>
    </w:p>
    <w:p>
      <w:r>
        <w:t xml:space="preserve">各级政府要把加强和改善城市基础设施建设作为重点工作，大力推进。中央财政通过中央预算内投资以及城镇污水管网专项等现有渠道支持城市基础设施建设，地方政府要确保对城市基础设施建设的资金投入力度。各级政府要充分考虑和优先保障城市基础设施建设用地需求。对于符合《划拨用地目录》的项目，应当以划拨方式供应建设用地。基础设施建设用地要纳入土地利用年度计划和建设用地供应计划，确保建设用地供应。</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工信部确定优先发展8大领域261项技术"/>
      <w:bookmarkEnd w:id="43"/>
      <w:r>
        <w:t xml:space="preserve">工信部确定优先发展8大领域261项技术</w:t>
      </w:r>
    </w:p>
    <w:p>
      <w:r>
        <w:t xml:space="preserve">基于2011年版指南，在充分分析国内外技术发展现状、趋势基础上，工信部9月16日印发《产业关键共性技术发展指南（2013年）》。2013年版指南确定了当前优先发展的节能环保与资源综合利用、原材料、装备制造、消费品工业、电子制造业、软件和信息技术服务业、通信业、信息化与生产性服务业等8大领域共261项技术。</w:t>
      </w:r>
    </w:p>
    <w:p>
      <w:r>
        <w:t xml:space="preserve">聚焦节能环保。具体来看，在新版指南提出的应优先发展的各项技术中，节能环保与资源综合利用有37项，原材料有54项，装备制造有70项，消费品工业有36项，电子制造业有25项，软件和信息技术服务业有18项，通信业有13项、信息化与生产性服务业有8项。节能环保技术在新版指南中继续得到重视，多个领域多个技术方向均涉及到节能环保。</w:t>
      </w:r>
    </w:p>
    <w:p>
      <w:r>
        <w:t xml:space="preserve">新技术受重视。纳米技术、超级电容、新能源汽车、电池技术等新技术成为新版指南关注的重要方向。</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汽车行业2013-2015年新能源汽车补贴政策出台"/>
      <w:bookmarkEnd w:id="46"/>
      <w:r>
        <w:t xml:space="preserve">汽车行业:2013-2015年新能源汽车补贴政策出台</w:t>
      </w:r>
    </w:p>
    <w:p>
      <w:r>
        <w:t xml:space="preserve">2013-2015年新能源汽车补贴政策出台。近日四部委(工信部、财政部、科技部和发改委)发布了《关于继续开展新能源汽车推广应用工作的通知》(“通知”),延续了新能汽车补贴的政策。通知主要是希望通过新能源汽车产业发展,推进节能减排,促进大气污染治理。</w:t>
      </w:r>
    </w:p>
    <w:p>
      <w:r>
        <w:t xml:space="preserve">最高补贴额度不变,计算方式改为以续航距离为标准。新能源汽车的定义包括纯电动汽车、插电式混合动力汽车和燃料电池汽车。给私人新能源的最高补贴额维持6万不变,但是不再以电池组能量是衡量补贴的主要指标,而改为了根据汽车在纯电动模式下的续航里程为标准进行补贴。新能源客车则按车长来进行补贴,最高补贴为50万。</w:t>
      </w:r>
    </w:p>
    <w:p>
      <w:r>
        <w:t xml:space="preserve">示范城市将得到政府补贴,进行充电站建设。通知提出,对符合标准的示范城市,中央将安排资金给予综合奖励,用于充电设施建设等方面。示范城市需要满足的条件包括,在2013-2015年间,特大城市新能源汽车累计推广量不低于1万辆,其他城市累计不低于5千辆。</w:t>
      </w:r>
    </w:p>
    <w:p>
      <w:r>
        <w:t xml:space="preserve">推广应用外地品牌新能源车的比例不低于30%,政府机关和公共机构等领域采购的新能源汽车占比不低于30%。</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保险"/>
      <w:bookmarkEnd w:id="49"/>
      <w:r>
        <w:t xml:space="preserve">保险</w:t>
      </w:r>
    </w:p>
    <w:p>
      <w:pPr>
        <w:pStyle w:val="Heading3"/>
      </w:pPr>
      <w:bookmarkStart w:id="50" w:name="国务院副总理马凯进一步拓宽保险资金运用渠道"/>
      <w:bookmarkEnd w:id="50"/>
      <w:r>
        <w:t xml:space="preserve">国务院副总理马凯：进一步拓宽保险资金运用渠道</w:t>
      </w:r>
    </w:p>
    <w:p>
      <w:r>
        <w:t xml:space="preserve">9月17日，国务院副总理马凯在第23届亚非保险再保险联合会大会上表示，中国在未来一段时期将采取更有力的措施，推动保险业转型升级，更好地服务于经济社会发展。</w:t>
      </w:r>
    </w:p>
    <w:p>
      <w:r>
        <w:t xml:space="preserve">马凯强调，中国在未来一段时期将采取更有力的措施，推动保险业转型升级，更好地服务于经济社会发展。一是加快保险业创新发展，积极发展养老保险、农业保险、责任保险等社会亟需的险种，研究发展巨灾保险。二是深化保险业体制改革，建立有管理的费率市场化模式，进一步拓宽保险资金运用渠道。三是扩大保险业对外开放，鼓励外资保险公司到中西部地区和农村拓展业务，支持有条件的保险公司开拓国际市场。四是提高保险业风险防范能力，坚决守住不发生系统性、区域性风险的底线。</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wto"/>
      <w:bookmarkEnd w:id="53"/>
      <w:r>
        <w:t xml:space="preserve">WTO</w:t>
      </w:r>
    </w:p>
    <w:p>
      <w:pPr>
        <w:pStyle w:val="Heading3"/>
      </w:pPr>
      <w:bookmarkStart w:id="54" w:name="中韩自贸谈判取得阶段性成果-90商品将实现零关税"/>
      <w:bookmarkEnd w:id="54"/>
      <w:r>
        <w:t xml:space="preserve">中韩自贸谈判取得阶段性成果 90%商品将实现零关税</w:t>
      </w:r>
    </w:p>
    <w:p>
      <w:r>
        <w:t xml:space="preserve">商务部9月17日召开月度例行记者会，新闻发言人沈丹阳回答提问时说，中国与韩国在9月初已经完成了中韩自贸区模式阶段谈判。根据已达成的模式，双方同意，最终实现自由化的产品应占全部商品税目的90%，涵盖进口总额的85%。</w:t>
      </w:r>
    </w:p>
    <w:p>
      <w:r>
        <w:t xml:space="preserve">沈丹阳说，中韩自贸区谈判分为模式谈判和出要价谈判两个阶段。双方在模式谈判阶段达成共识，包括货物贸易自由化水平、协定范围及各领域谈判原则、框架以及内容要素等。</w:t>
      </w:r>
    </w:p>
    <w:p>
      <w:r>
        <w:t xml:space="preserve">他表示，中韩自贸区模式谈判只是整个谈判的阶段性成果，对中日韩自贸区谈判具有一定参考意义。但是，两者情况不完全相同，谈判模式不可能简单照搬。中国与东盟双方将会探讨通过进一步降低关税、削减非关税措施，开展新一批服务贸易承诺的谈判，推动投资领域的实质性开放，从而提升贸易和投资的自由化、便利化水平。</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商务部初裁决定对原产于美国的进口太阳能级多晶硅实施临时反补贴措施"/>
      <w:bookmarkEnd w:id="57"/>
      <w:r>
        <w:t xml:space="preserve">商务部初裁决定对原产于美国的进口太阳能级多晶硅实施临时反补贴措施</w:t>
      </w:r>
    </w:p>
    <w:p>
      <w:r>
        <w:t xml:space="preserve">9月16日，商务部发布2013年第63号公告，初裁决定对原产于美国的进口太阳能级多晶硅（Solar-Grade Polysilicon）实施临时反补贴措施。</w:t>
      </w:r>
    </w:p>
    <w:p>
      <w:r>
        <w:t xml:space="preserve">公告称，经调查，在本案调查期内，原产于美国的进口太阳能级多晶硅存在补贴，中国国内多晶硅产业受到实质损害，且补贴与实质损害之间存在因果关系。根据《中华人民共和国反补贴条例》的有关规定，经商务部建议，国务院关税税则委员会决定，自2013年9月20日起，对原产于美国的进口太阳能级多晶硅采用保证金形式实施临时反补贴措施。进口经营者在进口上述产品时，应依据本初裁确定的各公司从价补贴率向中国海关提供相应的保证金。</w:t>
      </w:r>
    </w:p>
    <w:p>
      <w:r>
        <w:t xml:space="preserve">本次反补贴调查的被调查产品归在《中华人民共和国进出口税则》：28046190，该税则号项下用于生产集成电路、分立器件等半导体产品的电子级多晶硅不在本次调查产品范围之内。</w:t>
      </w:r>
    </w:p>
    <w:p>
      <w:r>
        <w:t xml:space="preserve">应国内多晶硅产业申请，商务部于2012年7月20日发布该年度第41号公告，决定对上述产品进行反补贴立案调查。</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0">
        <w:r>
          <w:rPr>
            <w:rStyle w:val="Link"/>
          </w:rPr>
          <w:t xml:space="preserve">unsubscribe@charltonslaw.com</w:t>
        </w:r>
      </w:hyperlink>
    </w:p>
    <w:p>
      <w:r>
        <w:rPr>
          <w:b/>
        </w:rPr>
        <w:t xml:space="preserve">易周律师行 - 法讯 - 中国 - 第373期 - 2013年09月19日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28ea3e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51" Target="http://epaper.stcn.com/paper/zqsb/html/epaper/index/content_504861.htm" TargetMode="External" /><Relationship Type="http://schemas.openxmlformats.org/officeDocument/2006/relationships/hyperlink" Id="rId41" Target="http://news.stcn.com/2013/0917/10759873.shtml" TargetMode="External" /><Relationship Type="http://schemas.openxmlformats.org/officeDocument/2006/relationships/hyperlink" Id="rId44" Target="http://news.stcn.com/2013/0917/10759914.shtml" TargetMode="External" /><Relationship Type="http://schemas.openxmlformats.org/officeDocument/2006/relationships/hyperlink" Id="rId35" Target="http://news.stcn.com/2013/0918/10763356.shtml" TargetMode="External" /><Relationship Type="http://schemas.openxmlformats.org/officeDocument/2006/relationships/hyperlink" Id="rId28" Target="http://news.stcn.com/2013/0918/10763561.shtml" TargetMode="External" /><Relationship Type="http://schemas.openxmlformats.org/officeDocument/2006/relationships/hyperlink" Id="rId47" Target="http://vip.stock.finance.sina.com.cn/q/go.php/vReport_Show/kind/lastest/rptid/2025698/index.phtml" TargetMode="External" /><Relationship Type="http://schemas.openxmlformats.org/officeDocument/2006/relationships/hyperlink" Id="rId21" Target="http://www.charltonslaw.com.cn/china-news-alerts-cn-issue-373/" TargetMode="External" /><Relationship Type="http://schemas.openxmlformats.org/officeDocument/2006/relationships/hyperlink" Id="rId25" Target="http://www.csrc.gov.cn/pub/newsite/bgt/xwdd/201309/t20130916_234937.htm" TargetMode="External" /><Relationship Type="http://schemas.openxmlformats.org/officeDocument/2006/relationships/hyperlink" Id="rId38" Target="http://www.gov.cn/jrzg/2013-09/18/content_2490535.htm" TargetMode="External" /><Relationship Type="http://schemas.openxmlformats.org/officeDocument/2006/relationships/hyperlink" Id="rId32" Target="http://www.miit.gov.cn/n11293472/n11293832/n11293907/n11368223/15628993.html" TargetMode="External" /><Relationship Type="http://schemas.openxmlformats.org/officeDocument/2006/relationships/hyperlink" Id="rId58" Target="http://www.mofcom.gov.cn/article/ae/ai/201309/20130900307184.shtml" TargetMode="External" /><Relationship Type="http://schemas.openxmlformats.org/officeDocument/2006/relationships/hyperlink" Id="rId55" Target="http://www.mofcom.gov.cn/xwfbh/20130917.shtml" TargetMode="External" /><Relationship Type="http://schemas.openxmlformats.org/officeDocument/2006/relationships/hyperlink" Id="rId6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51" Target="http://epaper.stcn.com/paper/zqsb/html/epaper/index/content_504861.htm" TargetMode="External" /><Relationship Type="http://schemas.openxmlformats.org/officeDocument/2006/relationships/hyperlink" Id="rId41" Target="http://news.stcn.com/2013/0917/10759873.shtml" TargetMode="External" /><Relationship Type="http://schemas.openxmlformats.org/officeDocument/2006/relationships/hyperlink" Id="rId44" Target="http://news.stcn.com/2013/0917/10759914.shtml" TargetMode="External" /><Relationship Type="http://schemas.openxmlformats.org/officeDocument/2006/relationships/hyperlink" Id="rId35" Target="http://news.stcn.com/2013/0918/10763356.shtml" TargetMode="External" /><Relationship Type="http://schemas.openxmlformats.org/officeDocument/2006/relationships/hyperlink" Id="rId28" Target="http://news.stcn.com/2013/0918/10763561.shtml" TargetMode="External" /><Relationship Type="http://schemas.openxmlformats.org/officeDocument/2006/relationships/hyperlink" Id="rId47" Target="http://vip.stock.finance.sina.com.cn/q/go.php/vReport_Show/kind/lastest/rptid/2025698/index.phtml" TargetMode="External" /><Relationship Type="http://schemas.openxmlformats.org/officeDocument/2006/relationships/hyperlink" Id="rId21" Target="http://www.charltonslaw.com.cn/china-news-alerts-cn-issue-373/" TargetMode="External" /><Relationship Type="http://schemas.openxmlformats.org/officeDocument/2006/relationships/hyperlink" Id="rId25" Target="http://www.csrc.gov.cn/pub/newsite/bgt/xwdd/201309/t20130916_234937.htm" TargetMode="External" /><Relationship Type="http://schemas.openxmlformats.org/officeDocument/2006/relationships/hyperlink" Id="rId38" Target="http://www.gov.cn/jrzg/2013-09/18/content_2490535.htm" TargetMode="External" /><Relationship Type="http://schemas.openxmlformats.org/officeDocument/2006/relationships/hyperlink" Id="rId32" Target="http://www.miit.gov.cn/n11293472/n11293832/n11293907/n11368223/15628993.html" TargetMode="External" /><Relationship Type="http://schemas.openxmlformats.org/officeDocument/2006/relationships/hyperlink" Id="rId58" Target="http://www.mofcom.gov.cn/article/ae/ai/201309/20130900307184.shtml" TargetMode="External" /><Relationship Type="http://schemas.openxmlformats.org/officeDocument/2006/relationships/hyperlink" Id="rId55" Target="http://www.mofcom.gov.cn/xwfbh/20130917.shtml" TargetMode="External" /><Relationship Type="http://schemas.openxmlformats.org/officeDocument/2006/relationships/hyperlink" Id="rId6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第373期 - 2013年09月19日</dc:title>
  <dc:creator/>
</cp:coreProperties>
</file>