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第374期</w:t>
      </w:r>
      <w:r>
        <w:t xml:space="preserve"> </w:t>
      </w:r>
      <w:r>
        <w:t xml:space="preserve">-</w:t>
      </w:r>
      <w:r>
        <w:t xml:space="preserve"> </w:t>
      </w:r>
      <w:r>
        <w:t xml:space="preserve">2013年09月27日</w:t>
      </w:r>
    </w:p>
    <w:p>
      <w:hyperlink r:id="rId21">
        <w:r>
          <w:rPr>
            <w:rStyle w:val="Link"/>
          </w:rPr>
          <w:t xml:space="preserve">网络版</w:t>
        </w:r>
      </w:hyperlink>
    </w:p>
    <w:p>
      <w:pPr>
        <w:pStyle w:val="Heading1"/>
      </w:pPr>
      <w:bookmarkStart w:id="22" w:name="法讯中国第374期"/>
      <w:bookmarkEnd w:id="22"/>
      <w:r>
        <w:t xml:space="preserve">法讯中国第374期</w:t>
      </w:r>
    </w:p>
    <w:p>
      <w:pPr>
        <w:pStyle w:val="Heading2"/>
      </w:pPr>
      <w:bookmarkStart w:id="23" w:name="期货"/>
      <w:bookmarkEnd w:id="23"/>
      <w:r>
        <w:t xml:space="preserve">期货</w:t>
      </w:r>
    </w:p>
    <w:p>
      <w:pPr>
        <w:pStyle w:val="Heading3"/>
      </w:pPr>
      <w:bookmarkStart w:id="24" w:name="上期所发布指定存管银行管理办法"/>
      <w:bookmarkEnd w:id="24"/>
      <w:r>
        <w:t xml:space="preserve">上期所发布指定存管银行管理办法</w:t>
      </w:r>
    </w:p>
    <w:p>
      <w:r>
        <w:t xml:space="preserve">上海期货交易所（下称“上期所”）于9月25日向市场发布了《上海期货交易所指定存管银行管理办法》(下称《办法》)。引人注目的是，上期所的《办法》还兼容了国际化业务的需要。</w:t>
      </w:r>
    </w:p>
    <w:p>
      <w:r>
        <w:t xml:space="preserve">对于申请成为上期所指定存管银行的必备条件，上期所在《办法》中规定：须为我国境内设立的全国性银行业金融机构法人；注册资本达到100亿元人民币，总资产在15000亿元人民币以上，净资产在1000亿元人民币以上，最近3个会计年度连续盈利；分支机构在600个以上，且在期货交易所所在地设有可以办理期货保证金存管业务和资金结算相关业务的分支机构。</w:t>
      </w:r>
    </w:p>
    <w:p>
      <w:r>
        <w:t xml:space="preserve">而且，《办法》从上期所未来发展需要及加强风险防范的角度出发，专门设立了以下几项条款：一是考虑到上期所创新及国际化业务发展的需要，规定了从事与境外特殊参与者等国际化业务有关的银行可根据交易所的相关规定申请期货保证金存管银行；二是在业务管理方面规定了上期所可不定期对保证金安全测试的跨行调拨，以及当资金结算出现流动性等需求时，存管银行应当给予相应资金配合的要求；三是在监督管理方面设立了交易所根据对存管银行的考评结果统筹安排存管银行的业务及双方合作项目等条款。</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动力煤期货挂牌-保证金约每手5000元"/>
      <w:bookmarkEnd w:id="27"/>
      <w:r>
        <w:t xml:space="preserve">动力煤期货挂牌 保证金约每手5000元</w:t>
      </w:r>
    </w:p>
    <w:p>
      <w:r>
        <w:t xml:space="preserve">继今年3月份焦煤期货在大连商品交易所（下称“大商所”）上市之后，商品市场另一重量级品种——动力煤期货于9月26日在郑州商品交易所（下称“郑商所”）上市，从每手交易保证金规模来看，动力煤期货仍属于相对较小的期货合约。 就现货市场规模来看，动力煤期货大于焦煤期货，且现货市场极其活跃，动力煤期货活跃度也有望不亚于焦煤期货。</w:t>
      </w:r>
    </w:p>
    <w:p>
      <w:r>
        <w:t xml:space="preserve">据郑商所上市计划，首批上市交易合约为TC312、TC401、TC402、TC403、TC404、TC405、TC406、TC407、TC408、TC409，各合约挂牌基准价均为520元/吨。上市首日，动力煤期货合约的涨停价为561.6元/吨，跌停价为478.4元/吨。</w:t>
      </w:r>
    </w:p>
    <w:p>
      <w:r>
        <w:t xml:space="preserve">据《郑州商品交易所期货交易风险控制管理办法》，上市当日涨跌停板幅度为合约挂牌基准价的±8%，交易保证金为5%。动力煤期货交易手续费收取标准为8元/手。自上市之日起，动力煤期货合约当日开平仓手续费减半收取。</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2"/>
      </w:pPr>
      <w:bookmarkStart w:id="30" w:name="债券"/>
      <w:bookmarkEnd w:id="30"/>
      <w:r>
        <w:t xml:space="preserve">债券</w:t>
      </w:r>
    </w:p>
    <w:p>
      <w:pPr>
        <w:pStyle w:val="Heading3"/>
      </w:pPr>
      <w:bookmarkStart w:id="31" w:name="上交所将于10月10日推出国债预发行"/>
      <w:bookmarkEnd w:id="31"/>
      <w:r>
        <w:t xml:space="preserve">上交所将于10月10日推出国债预发行</w:t>
      </w:r>
    </w:p>
    <w:p>
      <w:r>
        <w:t xml:space="preserve">上海证券交易所和中国证券登记结算有限责任公司26日发布实施《上海证券交易所、中国证券登记结算有限责任公司国债预发行（试点）交易及登记结算业务办法》，这意味着作为成熟市场普遍运用的业务，国债预发行将被引入中国内地国债市场。据悉，今年10月16日招标发行的7年期国债将作为预发行交易的首个试点券种，即国债预发行计划在10月10日推出。</w:t>
      </w:r>
    </w:p>
    <w:p>
      <w:r>
        <w:t xml:space="preserve">国债预发行交易是指在记账式国债招标日前特定期间进行交易，并在国债招标完成后进行交收的债券买卖行为。从境外经验来看，国债预发行业务在成熟市场非常普遍，是各国利率市场化进程中完善国债市场化发行制度的重要配套举措。上交所有关负责人表示，开展国债预发行业务，有助于进一步改善国债市场价格发现功能，促进国债市场功能的充分发挥。国债承销商可以提前将国债销售出去，有助于其锁定客户认购意向，提高国债投标的准确性，降低国债承销风险。投资者可以间接参与国债发行过程，提前锁定投资收益。</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上海股交中心将推中小企业私募债"/>
      <w:bookmarkEnd w:id="34"/>
      <w:r>
        <w:t xml:space="preserve">上海股交中心将推中小企业私募债</w:t>
      </w:r>
    </w:p>
    <w:p>
      <w:r>
        <w:t xml:space="preserve">9月26日，上海股交中心首家服务中心正式落户上海市嘉定区“东方慧谷”园区，13家嘉定区企业同时挂牌上海股交中心。至此，上海股交中心挂牌企业达241家。上海股交中心总经理张云峰对记者透露，中心年内还会推出3-5家中小企业私募债，力争用多种手段助推挂牌企业快速发展。</w:t>
      </w:r>
    </w:p>
    <w:p>
      <w:r>
        <w:t xml:space="preserve">上海股交中心嘉定服务中心由嘉定区政府与上海股交中心共同筹建，是上海股交中心市场服务的有效延伸。新设立的嘉定服务中心将在上海股权托管交易市场的制度体系下，充分发挥市场功能，为嘉定区内及周边地区企业挂牌与融资、股份登记与托管提供相应服务，为投资者提供开户与交易等经纪业务服务。</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2"/>
      </w:pPr>
      <w:bookmarkStart w:id="37" w:name="保险"/>
      <w:bookmarkEnd w:id="37"/>
      <w:r>
        <w:t xml:space="preserve">保险</w:t>
      </w:r>
    </w:p>
    <w:p>
      <w:pPr>
        <w:pStyle w:val="Heading3"/>
      </w:pPr>
      <w:bookmarkStart w:id="38" w:name="首批自贸区保险分支机构获批"/>
      <w:bookmarkEnd w:id="38"/>
      <w:r>
        <w:t xml:space="preserve">首批自贸区保险分支机构获批</w:t>
      </w:r>
    </w:p>
    <w:p>
      <w:r>
        <w:t xml:space="preserve">随着上海自贸区挂牌日渐临近，各金融机构争分夺秒布局自贸区。据悉，大本营设于上海的两家保险公司——太保、大众，分别被允许在自贸区设立分公司和支公司。上海保监局于9月24日正式向太保、大众两家保险公司发出批文，允许其作为首批保险机构入驻自贸区。“太保是两步并一步走，将一家营销服务部迁至自贸区并同步升格为分公司，大众是直接将一家支公司迁至自贸区并更名。”</w:t>
      </w:r>
    </w:p>
    <w:p>
      <w:r>
        <w:t xml:space="preserve">率先拿到批文的这两家保险公司，将在上海自贸区内主要经营财产险业务。具体所涉险种包括：航运保险、离岸保险、责任保险、健康医疗保险等。这些险种都将是未来自贸区建设中所重点发展的保险项目。尤其是随着自贸区国际贸易和货运吞吐量的大幅增加，将直接利好这些险种保费收入的放量增长。</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2"/>
      </w:pPr>
      <w:bookmarkStart w:id="41" w:name="银行"/>
      <w:bookmarkEnd w:id="41"/>
      <w:r>
        <w:t xml:space="preserve">银行</w:t>
      </w:r>
    </w:p>
    <w:p>
      <w:pPr>
        <w:pStyle w:val="Heading3"/>
      </w:pPr>
      <w:bookmarkStart w:id="42" w:name="银监会印发鼓励和引导民间资本进入银行业意见"/>
      <w:bookmarkEnd w:id="42"/>
      <w:r>
        <w:t xml:space="preserve">银监会印发鼓励和引导民间资本进入银行业意见</w:t>
      </w:r>
    </w:p>
    <w:p>
      <w:r>
        <w:t xml:space="preserve">为贯彻落实《国务院关于鼓励和引导民间投资健康发展的若干意见》，鼓励和引导民间资本进入银行业，加强对民间投资的融资支持，银监会近日出台了《关于鼓励和引导民间资本进入银行业的实施意见》以下简称《实施意见》。</w:t>
      </w:r>
    </w:p>
    <w:p>
      <w:r>
        <w:t xml:space="preserve">《实施意见》明确，民间资本进入银行业与其他资本遵守同等条件，支持符合银行业行政许可规章相关规定，公司治理结构完善，社会声誉、诚信记录和纳税记录良好，经营管理能力和资金实力较强，财务状况、资产状况良好，入股资金来源真实合法的民营企业投资银行业金融机构。支持民间资本参与村镇银行发起设立或增资扩股，并将村镇银行主发起行的最低持股比例由20%降低到15%。</w:t>
      </w:r>
    </w:p>
    <w:p>
      <w:r>
        <w:t xml:space="preserve">《实施意见》强调，要为民间资本进入银行业创造良好环境。各级银行业监督管理机构要鼓励各类投资者投资入股银行业金融机构，在市场准入实际工作中不得单独针对民间资本进入银行业设置限制条件或其他附加条件；要及时公布有关投资银行业金融机构的法规、政策和程序，以及银行业市场准入行政许可事项、结果，不断提高银行业市场准入的透明度；要进一步加强对民间资本进入银行业的服务、指导，依法答复相关法规和政策咨询；要严格履行监管职责，接受社会公众依法对银行业市场准入工作进行监督。</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2"/>
      </w:pPr>
      <w:bookmarkStart w:id="45" w:name="并购"/>
      <w:bookmarkEnd w:id="45"/>
      <w:r>
        <w:t xml:space="preserve">并购</w:t>
      </w:r>
    </w:p>
    <w:p>
      <w:pPr>
        <w:pStyle w:val="Heading3"/>
      </w:pPr>
      <w:bookmarkStart w:id="46" w:name="海通证券涉足金融租赁-斥资7.15亿美元收购恒信金融"/>
      <w:bookmarkEnd w:id="46"/>
      <w:r>
        <w:t xml:space="preserve">海通证券涉足金融租赁 斥资7.15亿美元收购恒信金融</w:t>
      </w:r>
    </w:p>
    <w:p>
      <w:r>
        <w:t xml:space="preserve">继银行业近几年来纷纷染指金融租赁领域后，海通证券也正式宣布，斥巨资涉足金融租赁领域。</w:t>
      </w:r>
    </w:p>
    <w:p>
      <w:r>
        <w:t xml:space="preserve">9月25日晚间，海通证券（600837.SH）发布公告称，其全资子公司海通国际控股和UTCapitalHoldings于9月25日签订股份买卖协议，同意向UTCapitalHoldings收购租赁业领先企业恒信金融集团100%的股份，收购对价为7.15亿美元。本交易交割后，恒信金融集团将成为海通国际控股的一家全资子公司和本公司的一家间接控制全资子公司。</w:t>
      </w:r>
    </w:p>
    <w:p>
      <w:r>
        <w:t xml:space="preserve">公告显示，恒信金融集团是2007年11月在香港设立的一家私人公司，隶属于TPG集团，已成功转型成为中国租赁业内一家市场领先的企业，为各行各业客户提供直接租赁和售后回租服务，其客户数量超过3000名，遍布中国260多个城市，包括上市和非上市企业。TPG集团是一间成立于1992年的全球领先的私募股权投资公司，旗下管理的资产规模达545亿美元。</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3"/>
      </w:pPr>
      <w:bookmarkStart w:id="49" w:name="方正证券欲吸收合并民族证券"/>
      <w:bookmarkEnd w:id="49"/>
      <w:r>
        <w:t xml:space="preserve">方正证券欲吸收合并民族证券</w:t>
      </w:r>
    </w:p>
    <w:p>
      <w:r>
        <w:t xml:space="preserve">8月下旬因筹划重大事项停牌的方正证券终于有了新的进展，此前市场一直流传的公司停牌与民族证券有关的推测今天得到了证实，公司称正与民族证券及有关各方积极推进重大资产重组工作。</w:t>
      </w:r>
    </w:p>
    <w:p>
      <w:r>
        <w:t xml:space="preserve">据悉，方正证券已初步确定通过发行股份的方式吸收合并民族证券，公司股票将继续停牌不超过30天。资料显示，民族证券成立于2002年4月，是经证监会批准的综合类证券公司，注册资本44.87亿元，总部位于北京，是上证所、深交所的会员单位。在全国18个大中省市和经济发达地区设立了50家分支机构。</w:t>
      </w:r>
    </w:p>
    <w:p>
      <w:r>
        <w:t xml:space="preserve">目前民族证券已取得证券经纪、证券投资咨询、证券交易、证券投资活动有关的财务顾问、融资融券等业务资格。2006年以来，公司连续7年盈利。2012年度，民族证券的全年营业收入为6.63亿元，净利润为9103.25万元，总资产为87.38亿元，净资产则为21.51亿元。</w:t>
      </w:r>
    </w:p>
    <w:p>
      <w:r>
        <w:t xml:space="preserve">而方正证券截至2012年末拥有103家营业部，总资产达到了279.85亿元，净资产为144.32亿元，营业收入为23.32亿元，净利润为5.62亿元，不难看出民族证券在总资产、净资产以及营业收入上均未达到方正证券的50%。</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双汇在美收购案-获史密斯菲尔德股东批准"/>
      <w:bookmarkEnd w:id="52"/>
      <w:r>
        <w:t xml:space="preserve">双汇在美收购案 获史密斯菲尔德股东批准</w:t>
      </w:r>
    </w:p>
    <w:p>
      <w:r>
        <w:t xml:space="preserve">美国史密斯菲尔德食品公司股东大会24日投票批准了中国双汇国际的收购方案，参与投票的股东中超过96％投了赞成票。</w:t>
      </w:r>
    </w:p>
    <w:p>
      <w:r>
        <w:t xml:space="preserve">史密斯菲尔德公司当天发表声明说，投赞成票的股东股份占公司流通普通股总股份的76％，收购程序预计将于9月26日结束。</w:t>
      </w:r>
    </w:p>
    <w:p>
      <w:r>
        <w:t xml:space="preserve">史密斯菲尔德公司总裁拉里•波普在声明中表示对投票结果很满意，“这对于史密斯菲尔德全体股东、美国农民和美国农业来说都是一项重大交易，两家公司的合作将致力于增长和拓展海内外业务。”</w:t>
      </w:r>
    </w:p>
    <w:p>
      <w:r>
        <w:t xml:space="preserve">根据收购协议，双汇国际将以每股34美元从史密斯菲尔德的股东手中购得全部股份，收购结束后史密斯菲尔德的普通股将不再公开交易，史密斯菲尔德将作为双汇的全资子公司运营，但依然保留史密斯菲尔德这个品牌。</w:t>
      </w:r>
    </w:p>
    <w:p>
      <w:r>
        <w:t xml:space="preserve">双汇国际为收购股份将支付47亿美元，此外还将承担史密斯菲尔德24亿美元的债务，总收购金额高达71亿美元。这是迄今中国企业规模最大的赴美投资案，也是继去年万达收购AMC后中国企业赴美投资的又一里程碑。</w:t>
      </w:r>
    </w:p>
    <w:p>
      <w:r>
        <w:t xml:space="preserve">为确定这项收购是否符合美国利益，美国国会7月10日举行了专门的听证会，美国外国在美投资委员会也开展了两轮评估，之后在9月6日批准了收购方案。</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2"/>
      </w:pPr>
      <w:bookmarkStart w:id="55" w:name="税务"/>
      <w:bookmarkEnd w:id="55"/>
      <w:r>
        <w:t xml:space="preserve">税务</w:t>
      </w:r>
    </w:p>
    <w:p>
      <w:pPr>
        <w:pStyle w:val="Heading3"/>
      </w:pPr>
      <w:bookmarkStart w:id="56" w:name="支付宝开通赴韩游退税-明年扩至欧盟"/>
      <w:bookmarkEnd w:id="56"/>
      <w:r>
        <w:t xml:space="preserve">支付宝开通赴韩游退税 明年扩至欧盟</w:t>
      </w:r>
    </w:p>
    <w:p>
      <w:r>
        <w:t xml:space="preserve">随着韩国入境签证政策的宽松及“韩流”文化影响，赴韩旅行消费的中国人群正迅速增加。</w:t>
      </w:r>
    </w:p>
    <w:p>
      <w:r>
        <w:t xml:space="preserve">实际上，在韩国观光购物时，除商家打折促销外，当地政府也有7%左右的购物退税优惠。但受到种种因素制约，绝大多数中国游客并未能享受到这一实惠。</w:t>
      </w:r>
    </w:p>
    <w:p>
      <w:r>
        <w:t xml:space="preserve">在这一背景下，支付宝近日宣布推出了海外退税服务，消费者出国购物可使用支付宝办理退税，税金最快7个工作日到账支付宝，效率比传统信用卡退税方式提速5倍以上。据悉，目前这一服务已率先在韩国开通，预计明年会逐渐推广至新加坡、欧盟等地区。 按照韩国的政策，跨境游客在标有“TAX FREE”标志的指定商店购物，都可申请购物退税。办理方式以往一般有现金退款和信用卡退税两种，前者手续比较繁琐；后者到账时间长，一般需时1~3个月。据统计，2012年有近一半的中国游客在海外购物后没有领退税，积攒下来金额仅欧盟地区就高达8亿元人民币。</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关于执行内地和香港特别行政区关于对所得避免双重征税和防止偷漏税的安排有关居民身份认定问题的公告的解读"/>
      <w:bookmarkEnd w:id="59"/>
      <w:r>
        <w:t xml:space="preserve">关于《执行〈内地和香港特别行政区关于对所得避免双重征税和防止偷漏税的安排〉有关居民身份认定问题的公告》的解读</w:t>
      </w:r>
    </w:p>
    <w:p>
      <w:r>
        <w:t xml:space="preserve">一、发布本公告的目的是什么？</w:t>
      </w:r>
    </w:p>
    <w:p>
      <w:r>
        <w:t xml:space="preserve">具备香港居民身份是申请享受《内地和香港特别行政区关于对所得避免双重征税和防止偷漏税的安排》（以下简称安排）待遇的前提。本公告对享受安排待遇的香港居民身份认定及相关程序做出明确，将所需资料表样进行公布，以便于安排执行工作顺利进行。</w:t>
      </w:r>
    </w:p>
    <w:p>
      <w:r>
        <w:t xml:space="preserve">二、香港居民申请享受安排待遇是否一律都要提供居民身份证明？</w:t>
      </w:r>
    </w:p>
    <w:p>
      <w:r>
        <w:t xml:space="preserve">香港居民申请享受安排待遇时，可依据申请人提交的由香港有关当局出具的公司注册证书（副本）或商业登记证核证本，对其居民身份进行确认。申请人为个人的，可凭其香港身份证和香港居民往来内地通行证进行确认。仅在内地税务机关对申请人身份有怀疑，并申请人提交的有关资料不足以证明其香港居民身份的，以及一些特殊情形下的申请人，可要求香港税务局开具居民身份证明。</w:t>
      </w:r>
    </w:p>
    <w:p>
      <w:r>
        <w:t xml:space="preserve">三、要求香港税务局开居民身份证明时内地税务机关是否一定要向香港税务局提出书面需求？</w:t>
      </w:r>
    </w:p>
    <w:p>
      <w:r>
        <w:t xml:space="preserve">需要申请人提供居民身份证明时，内地税务主管机关应向香港税务局以书面形式提出开具证明的需求。</w:t>
      </w:r>
    </w:p>
    <w:p>
      <w:r>
        <w:t xml:space="preserve">四、内地税务机关对香港税务局开具的香港居民身份证明能否认可？</w:t>
      </w:r>
    </w:p>
    <w:p>
      <w:r>
        <w:t xml:space="preserve">内地税务机关对香港税务局开具的香港居民身份证明应予认可。如果内地税务机关对申请人提供的居民身份证明仍有怀疑，有权对申请人身份的真实性进行审核。若发现与事实不符，可要求申请人进一步提供资料进行判定。或将情况提交税务总局，向香港税务局求证。</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2"/>
      </w:pPr>
      <w:bookmarkStart w:id="62" w:name="行业"/>
      <w:bookmarkEnd w:id="62"/>
      <w:r>
        <w:t xml:space="preserve">行业</w:t>
      </w:r>
    </w:p>
    <w:p>
      <w:pPr>
        <w:pStyle w:val="Heading3"/>
      </w:pPr>
      <w:bookmarkStart w:id="63" w:name="我国出台外经贸领域-不良信用记录试行办法"/>
      <w:bookmarkEnd w:id="63"/>
      <w:r>
        <w:t xml:space="preserve">我国出台外经贸领域 不良信用记录试行办法</w:t>
      </w:r>
    </w:p>
    <w:p>
      <w:r>
        <w:t xml:space="preserve">商务部、外交部、公安部等九部门日前发布关于印发《对外投资合作和对外贸易领域不良信用记录试行办法》的通知，规定在对外经济合作领域和对外贸易领域如有企业有违反《办法》中相关规定的行为，将被列入不良信用记录“黑名单”。</w:t>
      </w:r>
    </w:p>
    <w:p>
      <w:r>
        <w:t xml:space="preserve">《办法》明确，经核准开展境外投资业务的企业，如有不为境内派出人员办理合法出入境手续、健康体检、预防接种和工作许可；不尊重当地风俗习惯、宗教信仰和生活习惯，导致与当地民众发生冲突；不遵守当地生产、技术和卫生标准，导致安全事故；不遵守当地劳动法规导致重大劳资纠纷；破坏当地生态环境，威胁当地公共安全等行为的，应当列入对外投资合作不良信用记录。</w:t>
      </w:r>
    </w:p>
    <w:p>
      <w:r>
        <w:t xml:space="preserve">《办法》规定，已依法进行对外贸易经营者备案登记的企业，如在对外贸易活动中存在以欺骗或者其他不正当手段获取、伪造、变造或者买卖对外贸易经营者备案登记证明；以欺骗或其他不正当手段获取、伪造、变造、买卖或者盗窃原产地证书、进出口许可证、进出口配额证明或者其他进出口证明文件等行为的，应列入对外贸易不良信用记录。</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新旅游法十一起实施-大型旅行社或将受益"/>
      <w:bookmarkEnd w:id="66"/>
      <w:r>
        <w:t xml:space="preserve">新《旅游法》十一起实施 大型旅行社或将受益</w:t>
      </w:r>
    </w:p>
    <w:p>
      <w:r>
        <w:t xml:space="preserve">每到黄金周，旅游市场就会掀起一波高潮。从今年10月1日起，新《旅游法》将会伴随假期一同启动。此前，旅游景点中的强制性消费以及旅行社的强制购物一直被消费者们诟病。而即将实施的新《旅游法》也将焦点放在这些旅游乱象上，对我国旅游市场进行一次“大清洗”。</w:t>
      </w:r>
    </w:p>
    <w:p>
      <w:r>
        <w:t xml:space="preserve">对此，有分析人士表示新《旅游法》实施将保证国庆长假期间部分出境游和国内游的价格透明度，但旅游线路的团费也将相应提高20%至50%。虽然在短期内会因团费提高失去部分客户，但从长期来看，对旅游行业形成长期利好。</w:t>
      </w:r>
    </w:p>
    <w:p>
      <w:r>
        <w:t xml:space="preserve">强制购物和额外的自费项目一直是游客们在旅行中最为头疼的问题，而这些项目的返利也是旅行社及导游的固定盈利模式。然而在今年4月25日通过的新《旅游法》中明确规定：“旅行社不得以不合理的低价组织旅游活动，诱骗旅游者，并通过安排购物或者另行付费旅游项目获取回扣等不正当利益；旅行社组织、接待旅游者，不得指定具体购物场所，不得安排另行付费旅游项目。”正是在这三个“不得”，使得旅行社不得不从旅游线路价格上做出调整。</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商务部十一后跨境电商全国推广"/>
      <w:bookmarkEnd w:id="69"/>
      <w:r>
        <w:t xml:space="preserve">商务部：十一后跨境电商全国推广</w:t>
      </w:r>
    </w:p>
    <w:p>
      <w:r>
        <w:t xml:space="preserve">商务部9月26日召开电子商务专题发布会，商务部新闻发言人姚坚透露，目前我国跨境电商平台企业已超过5000家，境内通过各类平台开展跨境电子商务的企业已超过20万家。跨境电子商务正成为外贸产业中的一匹“黑马”，而为解决其发展瓶颈，出口检验等六项支持政策已经在上海等五个跨境电子商务试点城市实施。商务部电子商务和信息化司司长李晋奇表示，10月1日为重要节点，之后全国有条件的地区将全面推广。</w:t>
      </w:r>
    </w:p>
    <w:p>
      <w:r>
        <w:t xml:space="preserve">此外，17家第三方支付公司近日已接获国家外管局正式批复，成为首批获得跨境电子商务外汇支付业务试点资格的企业。跨境电商发展屡获政策支持，新一轮提速发展可期。</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2"/>
      </w:pPr>
      <w:bookmarkStart w:id="72" w:name="其他"/>
      <w:bookmarkEnd w:id="72"/>
      <w:r>
        <w:t xml:space="preserve">其他</w:t>
      </w:r>
    </w:p>
    <w:p>
      <w:pPr>
        <w:pStyle w:val="Heading3"/>
      </w:pPr>
      <w:bookmarkStart w:id="73" w:name="国务院常务会议决定再取消和下放一批行政审批事项"/>
      <w:bookmarkEnd w:id="73"/>
      <w:r>
        <w:t xml:space="preserve">国务院常务会议决定再取消和下放一批行政审批事项</w:t>
      </w:r>
    </w:p>
    <w:p>
      <w:r>
        <w:t xml:space="preserve">国务院总理李克强9月25日主持召开国务院常务会议，修订政府核准投资项目目录，决定再取消和下放一批行政审批事项，部署进一步加大力度推进保障性安居工程建设。 会议指出，随着经济环境、科技进步和行业发展等情况的变化，2004年出台的政府核准的投资项目目录已不完全适应现实需要，必须抓紧修订。一是缩小核准范围，对市场竞争充分、企业有自我调节和约束能力、可通过经济和法律手段有效调控、符合结构调整方向、有利于防止产生新的过剩产能的项目，由核准改为备案。二是将仍需由政府核准，但可通过规划、产业政策、技术标准等引导和调控的项目下放给地方，增强就近监管能力。三是对已下放核准权的项目，相应调整相关前置审批权限，以提高效率。四是明确职责分工，国务院投资主管部门核准跨地区、跨行业、跨领域和涉及综合平衡、重大布局的项目，行业管理部门核准需由中央层面管理的其他项目，做到权责一致。按上述原则，此次修订取消和下放了分布式燃气发电等一批核准项目，放宽了部分外商投资准入条件。</w:t>
      </w:r>
    </w:p>
    <w:p>
      <w:r>
        <w:t xml:space="preserve">为深入推进政府职能转变，持续释放改革红利，会议决定再取消和下放75项行政审批事项。至此，新一届政府取消和下放的行政审批事项已达221项，激发市场和社会活力的成效正在显现。</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Heading3"/>
      </w:pPr>
      <w:bookmarkStart w:id="76" w:name="上海铁路法院率先扩权-管辖轨交案件将成趋势"/>
      <w:bookmarkEnd w:id="76"/>
      <w:r>
        <w:t xml:space="preserve">上海铁路法院率先扩权 管辖轨交案件将成趋势</w:t>
      </w:r>
    </w:p>
    <w:p>
      <w:r>
        <w:t xml:space="preserve">铁路司法改革并不止步于从铁路系统中剥离，上海铁路法院系统正在探索更宽阔的司法之路。</w:t>
      </w:r>
    </w:p>
    <w:p>
      <w:r>
        <w:t xml:space="preserve">上海铁路运输中级法院9月25日公布，从26日起，上海铁路法院系统将受理轨道交通运营区域内发生的民事、行政等案件。</w:t>
      </w:r>
    </w:p>
    <w:p>
      <w:r>
        <w:t xml:space="preserve">根据最高法院的批准和上海高院的批复，从26日起，上海铁路运输法院依法受理上海市轨道交通运营区域内发生的民事一审案件、上海市公安局交警高架支队管辖区域内发生的道路交通事故引起的人身、财产损害赔偿一审案件，以及上海市轨道交通运营区域内发生的行政一审案件；上海铁路运输中级法院依法受理对上述一审案件提起的上诉案件，以及上海市北新泾监狱刑事减刑、假释案件。</w:t>
      </w:r>
    </w:p>
    <w:p>
      <w:r>
        <w:t xml:space="preserve">上海铁路运输中级法院院长许一新表示，这是全国铁路法院改制以后，根据2012年8月1日最高法院司法解释，全国第一家由最高法院批准扩大民事案件指定管辖范围的铁路法院。同时，上海高院根据本地实际，依法指定部分行政案件和减刑假释案件由铁路法院受理。虽然铁路法院负责民事案件，但是许一新也强调，“刑事案件中附带的民事案件是属于刑事案件的一部分，这个不是我们受理的。”</w:t>
      </w:r>
    </w:p>
    <w:p>
      <w:hyperlink r:id="rId77">
        <w:r>
          <w:rPr>
            <w:rStyle w:val="Link"/>
          </w:rPr>
          <w:t xml:space="preserve">来源</w:t>
        </w:r>
      </w:hyperlink>
      <w:r>
        <w:t xml:space="preserve"> </w:t>
      </w:r>
      <w:r>
        <w:t xml:space="preserve">(</w:t>
      </w:r>
      <w:hyperlink r:id="rId78">
        <w:r>
          <w:rPr>
            <w:rStyle w:val="Link"/>
          </w:rPr>
          <w:t xml:space="preserve">副本</w:t>
        </w:r>
      </w:hyperlink>
      <w:r>
        <w:t xml:space="preserve">)</w:t>
      </w:r>
    </w:p>
    <w:p>
      <w:pPr>
        <w:pStyle w:val="Heading3"/>
      </w:pPr>
      <w:bookmarkStart w:id="79" w:name="会议费管理新规出台-实行综合定额控制"/>
      <w:bookmarkEnd w:id="79"/>
      <w:r>
        <w:t xml:space="preserve">会议费管理新规出台 实行综合定额控制</w:t>
      </w:r>
    </w:p>
    <w:p>
      <w:r>
        <w:t xml:space="preserve">修订后的《中央和国家机关会议费管理办法》将于明年1月1日施行，这将可能进一步抑制某些领域的高端及奢侈消费。</w:t>
      </w:r>
    </w:p>
    <w:p>
      <w:r>
        <w:t xml:space="preserve">财政部、国家机关事务管理局、中共中央直属机关事务管理局9月23日联合对外发布了修订后的《中央和国家机关会议费管理办法》。与之前的会议费管理办法相比，新办法在适用对象上实现了全覆盖，适用于所有中央和国家机关。中央事业单位会议费管理参照新办法执行。之前会议费管理办法主要适用于国务院各部门，其他中央国家机关比照执行，对事业单位会议费管理问题未作出明确规定。</w:t>
      </w:r>
    </w:p>
    <w:p>
      <w:r>
        <w:t xml:space="preserve">新办法规定，各单位召开的会议实行分类管理、分级审批，要严格控制会议规模。其中，一类会议会期和参会人员按照批准文件，根据工作需要从严控制；二、三、四类会议会期不得超过2天，传达、布置类会议不得超过１天；二类会议人员不得超过300人，三类会议人员不得超过150人，四类会议一般不得超过50人。</w:t>
      </w:r>
    </w:p>
    <w:p>
      <w:hyperlink r:id="rId80">
        <w:r>
          <w:rPr>
            <w:rStyle w:val="Link"/>
          </w:rPr>
          <w:t xml:space="preserve">来源</w:t>
        </w:r>
      </w:hyperlink>
      <w:r>
        <w:t xml:space="preserve"> </w:t>
      </w:r>
      <w:r>
        <w:t xml:space="preserve">(</w:t>
      </w:r>
      <w:hyperlink r:id="rId81">
        <w:r>
          <w:rPr>
            <w:rStyle w:val="Link"/>
          </w:rPr>
          <w:t xml:space="preserve">副本</w:t>
        </w:r>
      </w:hyperlink>
      <w:r>
        <w:t xml:space="preserve">)</w:t>
      </w:r>
    </w:p>
    <w:p>
      <w:pPr>
        <w:pStyle w:val="Heading3"/>
      </w:pPr>
      <w:bookmarkStart w:id="82" w:name="前海国际仲裁规则正式启用-首例涉外商事仲裁案开庭"/>
      <w:bookmarkEnd w:id="82"/>
      <w:r>
        <w:t xml:space="preserve">前海国际仲裁规则正式启用 首例涉外商事仲裁案开庭</w:t>
      </w:r>
    </w:p>
    <w:p>
      <w:r>
        <w:t xml:space="preserve">9月23日，深圳国际仲裁院在前海国际仲裁庭开庭审理了一起商事仲裁案件。这是自深圳国际仲裁院进驻前海以来，第一次在前海开庭审理的涉外商事仲裁案件。该宗案件的当事人分别来自中国内地和美国，仲裁员来自香港特别行政区，适用的仲裁规则是深圳国际仲裁院在前海开展国际仲裁创新以来启用的新规则。</w:t>
      </w:r>
    </w:p>
    <w:p>
      <w:r>
        <w:t xml:space="preserve">据了解，该案是一起关于国际建设工程设计合同的纠纷，申请人是一家在美国纽约州注册成立的建筑师事务所，被申请人是广东的一家企业。根据双方签订的中英文合同的约定，申请人为被申请人提供建筑总体规划设计，被申请人支付设计费。同时，双方还在合同中明确约定，因该设计合同产生的争议应提交深圳国际仲裁院进行仲裁。双方当事人在履行合同的过程中发生争议，申请人根据合同约定向深圳国际仲裁院提请仲裁。</w:t>
      </w:r>
    </w:p>
    <w:p>
      <w:r>
        <w:t xml:space="preserve">据悉，深圳市政府去年11月颁行政府规章《深圳国际仲裁院管理规定(试行)》，深圳 成为国内第一个对仲裁机构进行专门立法的城市。根据上述特区立法，深圳国际仲裁院在国内率先引入法定机构管理模式，并明确政府行为边界，规定境外理事不少于三分之一。资料显示，深圳国际仲裁院在前海加大国际化力度，其仲裁员名册共覆盖29个国家和地区的525名仲裁员，境外仲裁员180名，占总数的34.3%。业内人士分析指出，通过国际化、社会化、专业化的理事会对国际仲裁院进行决策和监督，强调前海国际仲裁的独立性、中立性和公信力，将有利于消除中外当事人对于地方保护、行政干预和内部人控制的顾虑，形成前海国际化法治化营商环境的独特优势。</w:t>
      </w:r>
    </w:p>
    <w:p>
      <w:hyperlink r:id="rId83">
        <w:r>
          <w:rPr>
            <w:rStyle w:val="Link"/>
          </w:rPr>
          <w:t xml:space="preserve">来源</w:t>
        </w:r>
      </w:hyperlink>
      <w:r>
        <w:t xml:space="preserve"> </w:t>
      </w:r>
      <w:r>
        <w:t xml:space="preserve">(</w:t>
      </w:r>
      <w:hyperlink r:id="rId84">
        <w:r>
          <w:rPr>
            <w:rStyle w:val="Link"/>
          </w:rPr>
          <w:t xml:space="preserve">副本</w:t>
        </w:r>
      </w:hyperlink>
      <w:r>
        <w:t xml:space="preserve">)</w:t>
      </w:r>
    </w:p>
    <w:p>
      <w:pPr>
        <w:pStyle w:val="Heading3"/>
      </w:pPr>
      <w:bookmarkStart w:id="85" w:name="与搜狗互诉不正当竞争"/>
      <w:bookmarkEnd w:id="85"/>
      <w:r>
        <w:t xml:space="preserve">360与搜狗互诉不正当竞争</w:t>
      </w:r>
    </w:p>
    <w:p>
      <w:r>
        <w:t xml:space="preserve">360和搜狗之间的口水战终于演变成新一轮搜索引擎大战。9月25日，360宣布向北京第二中级人民法院起诉搜狗的不正当竞争，索赔人民币5000万元；同时，向北京西城人民法院起诉搜狗公司CEO王小川名誉侵权，索赔人民币100万元。而就在同一天，搜狗正式向陕西省西安市中级人民法院提起诉讼，状告360不正当竞争，并索赔经济损失人民币4500万元。</w:t>
      </w:r>
    </w:p>
    <w:p>
      <w:r>
        <w:t xml:space="preserve">对于两家公司的互诉行为，业内人士普遍认为，之前两家的口水战已经正式升级为新一轮搜索引擎大战。目前，各方关注的焦点是搜狗是否在输入法更新时进行了“诱导捆绑”，以及360是否恶意拦截搜狗浏览器。但由于确定上述问题需要进行一定的技术调查，因此单凭双方公告，目前很难确定谁是谁非。不过，多数业内人士指出，双方互诉的结果并不重要，重要的是在搜索引擎市场份额占据第二和第三的360和搜狗正式展开正面冲突，将引发一场新的搜索大战，并会使目前搜索引擎市场的竞争格局变得更加扑朔迷离。</w:t>
      </w:r>
    </w:p>
    <w:p>
      <w:hyperlink r:id="rId86">
        <w:r>
          <w:rPr>
            <w:rStyle w:val="Link"/>
          </w:rPr>
          <w:t xml:space="preserve">来源</w:t>
        </w:r>
      </w:hyperlink>
      <w:r>
        <w:t xml:space="preserve"> </w:t>
      </w:r>
      <w:r>
        <w:t xml:space="preserve">(</w:t>
      </w:r>
      <w:hyperlink r:id="rId87">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88">
        <w:r>
          <w:rPr>
            <w:rStyle w:val="Link"/>
          </w:rPr>
          <w:t xml:space="preserve">unsubscribe@charltonslaw.com</w:t>
        </w:r>
      </w:hyperlink>
    </w:p>
    <w:p>
      <w:r>
        <w:rPr>
          <w:b/>
        </w:rPr>
        <w:t xml:space="preserve">易周律师行 - 法讯 - 中国 - 第374期 - 2013年09月27日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86c6357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61" Target="11.pdf" TargetMode="External" /><Relationship Type="http://schemas.openxmlformats.org/officeDocument/2006/relationships/hyperlink" Id="rId65" Target="12.pdf" TargetMode="External" /><Relationship Type="http://schemas.openxmlformats.org/officeDocument/2006/relationships/hyperlink" Id="rId68" Target="13.pdf" TargetMode="External" /><Relationship Type="http://schemas.openxmlformats.org/officeDocument/2006/relationships/hyperlink" Id="rId71" Target="14.pdf" TargetMode="External" /><Relationship Type="http://schemas.openxmlformats.org/officeDocument/2006/relationships/hyperlink" Id="rId75" Target="15.pdf" TargetMode="External" /><Relationship Type="http://schemas.openxmlformats.org/officeDocument/2006/relationships/hyperlink" Id="rId78" Target="16.pdf" TargetMode="External" /><Relationship Type="http://schemas.openxmlformats.org/officeDocument/2006/relationships/hyperlink" Id="rId81" Target="17.pdf" TargetMode="External" /><Relationship Type="http://schemas.openxmlformats.org/officeDocument/2006/relationships/hyperlink" Id="rId84" Target="18.pdf" TargetMode="External" /><Relationship Type="http://schemas.openxmlformats.org/officeDocument/2006/relationships/hyperlink" Id="rId87" Target="19.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40" Target="5.pdf" TargetMode="External" /><Relationship Type="http://schemas.openxmlformats.org/officeDocument/2006/relationships/hyperlink" Id="rId44" Target="6.pdf" TargetMode="External" /><Relationship Type="http://schemas.openxmlformats.org/officeDocument/2006/relationships/hyperlink" Id="rId48" Target="7.pdf" TargetMode="External" /><Relationship Type="http://schemas.openxmlformats.org/officeDocument/2006/relationships/hyperlink" Id="rId51" Target="8.pdf" TargetMode="External" /><Relationship Type="http://schemas.openxmlformats.org/officeDocument/2006/relationships/hyperlink" Id="rId54" Target="9.pdf" TargetMode="External" /><Relationship Type="http://schemas.openxmlformats.org/officeDocument/2006/relationships/hyperlink" Id="rId43" Target="http://bank.cnfol.com/130924/136,1565,16032235,00.shtml" TargetMode="External" /><Relationship Type="http://schemas.openxmlformats.org/officeDocument/2006/relationships/hyperlink" Id="rId83" Target="http://finance.eastmoney.com/news/1355,20130923324790247.html" TargetMode="External" /><Relationship Type="http://schemas.openxmlformats.org/officeDocument/2006/relationships/hyperlink" Id="rId35" Target="http://kuaixun.stcn.com/2013/0926/10781546.shtml" TargetMode="External" /><Relationship Type="http://schemas.openxmlformats.org/officeDocument/2006/relationships/hyperlink" Id="rId70" Target="http://kuaixun.stcn.com/2013/0927/10783076.shtml" TargetMode="External" /><Relationship Type="http://schemas.openxmlformats.org/officeDocument/2006/relationships/hyperlink" Id="rId80" Target="http://news.stcn.com/2013/0924/10771613.shtml" TargetMode="External" /><Relationship Type="http://schemas.openxmlformats.org/officeDocument/2006/relationships/hyperlink" Id="rId64" Target="http://news.stcn.com/2013/0924/10771615.shtml" TargetMode="External" /><Relationship Type="http://schemas.openxmlformats.org/officeDocument/2006/relationships/hyperlink" Id="rId53" Target="http://news.stcn.com/2013/0925/10775042.shtml" TargetMode="External" /><Relationship Type="http://schemas.openxmlformats.org/officeDocument/2006/relationships/hyperlink" Id="rId39" Target="http://news.stcn.com/2013/0925/10775115.shtml" TargetMode="External" /><Relationship Type="http://schemas.openxmlformats.org/officeDocument/2006/relationships/hyperlink" Id="rId57" Target="http://news.stcn.com/2013/0926/10778303.shtml" TargetMode="External" /><Relationship Type="http://schemas.openxmlformats.org/officeDocument/2006/relationships/hyperlink" Id="rId77" Target="http://news.stcn.com/2013/0926/10778711.shtml" TargetMode="External" /><Relationship Type="http://schemas.openxmlformats.org/officeDocument/2006/relationships/hyperlink" Id="rId28" Target="http://news.stcn.com/2013/0926/10778737.shtml" TargetMode="External" /><Relationship Type="http://schemas.openxmlformats.org/officeDocument/2006/relationships/hyperlink" Id="rId25" Target="http://news.stcn.com/2013/0926/10778741.shtml" TargetMode="External" /><Relationship Type="http://schemas.openxmlformats.org/officeDocument/2006/relationships/hyperlink" Id="rId47" Target="http://news.stcn.com/2013/0926/10778745.shtml" TargetMode="External" /><Relationship Type="http://schemas.openxmlformats.org/officeDocument/2006/relationships/hyperlink" Id="rId50" Target="http://news.stcn.com/2013/0926/10778771.shtml" TargetMode="External" /><Relationship Type="http://schemas.openxmlformats.org/officeDocument/2006/relationships/hyperlink" Id="rId86" Target="http://news.stcn.com/2013/0926/10778834.shtml" TargetMode="External" /><Relationship Type="http://schemas.openxmlformats.org/officeDocument/2006/relationships/hyperlink" Id="rId74" Target="http://news.stcn.com/2013/0926/10778837.shtml" TargetMode="External" /><Relationship Type="http://schemas.openxmlformats.org/officeDocument/2006/relationships/hyperlink" Id="rId67" Target="http://news.stcn.com/2013/0926/10778999.shtml" TargetMode="External" /><Relationship Type="http://schemas.openxmlformats.org/officeDocument/2006/relationships/hyperlink" Id="rId32" Target="http://news.stcn.com/2013/0927/10781989.shtml" TargetMode="External" /><Relationship Type="http://schemas.openxmlformats.org/officeDocument/2006/relationships/hyperlink" Id="rId21" Target="http://www.charltonslaw.com.cn/china-news-alerts-cn-issue-374/" TargetMode="External" /><Relationship Type="http://schemas.openxmlformats.org/officeDocument/2006/relationships/hyperlink" Id="rId60" Target="http://www.chinatax.gov.cn/n8136506/n8136593/n8137537/n8138532/12379509.html" TargetMode="External" /><Relationship Type="http://schemas.openxmlformats.org/officeDocument/2006/relationships/hyperlink" Id="rId88"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61" Target="11.pdf" TargetMode="External" /><Relationship Type="http://schemas.openxmlformats.org/officeDocument/2006/relationships/hyperlink" Id="rId65" Target="12.pdf" TargetMode="External" /><Relationship Type="http://schemas.openxmlformats.org/officeDocument/2006/relationships/hyperlink" Id="rId68" Target="13.pdf" TargetMode="External" /><Relationship Type="http://schemas.openxmlformats.org/officeDocument/2006/relationships/hyperlink" Id="rId71" Target="14.pdf" TargetMode="External" /><Relationship Type="http://schemas.openxmlformats.org/officeDocument/2006/relationships/hyperlink" Id="rId75" Target="15.pdf" TargetMode="External" /><Relationship Type="http://schemas.openxmlformats.org/officeDocument/2006/relationships/hyperlink" Id="rId78" Target="16.pdf" TargetMode="External" /><Relationship Type="http://schemas.openxmlformats.org/officeDocument/2006/relationships/hyperlink" Id="rId81" Target="17.pdf" TargetMode="External" /><Relationship Type="http://schemas.openxmlformats.org/officeDocument/2006/relationships/hyperlink" Id="rId84" Target="18.pdf" TargetMode="External" /><Relationship Type="http://schemas.openxmlformats.org/officeDocument/2006/relationships/hyperlink" Id="rId87" Target="19.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40" Target="5.pdf" TargetMode="External" /><Relationship Type="http://schemas.openxmlformats.org/officeDocument/2006/relationships/hyperlink" Id="rId44" Target="6.pdf" TargetMode="External" /><Relationship Type="http://schemas.openxmlformats.org/officeDocument/2006/relationships/hyperlink" Id="rId48" Target="7.pdf" TargetMode="External" /><Relationship Type="http://schemas.openxmlformats.org/officeDocument/2006/relationships/hyperlink" Id="rId51" Target="8.pdf" TargetMode="External" /><Relationship Type="http://schemas.openxmlformats.org/officeDocument/2006/relationships/hyperlink" Id="rId54" Target="9.pdf" TargetMode="External" /><Relationship Type="http://schemas.openxmlformats.org/officeDocument/2006/relationships/hyperlink" Id="rId43" Target="http://bank.cnfol.com/130924/136,1565,16032235,00.shtml" TargetMode="External" /><Relationship Type="http://schemas.openxmlformats.org/officeDocument/2006/relationships/hyperlink" Id="rId83" Target="http://finance.eastmoney.com/news/1355,20130923324790247.html" TargetMode="External" /><Relationship Type="http://schemas.openxmlformats.org/officeDocument/2006/relationships/hyperlink" Id="rId35" Target="http://kuaixun.stcn.com/2013/0926/10781546.shtml" TargetMode="External" /><Relationship Type="http://schemas.openxmlformats.org/officeDocument/2006/relationships/hyperlink" Id="rId70" Target="http://kuaixun.stcn.com/2013/0927/10783076.shtml" TargetMode="External" /><Relationship Type="http://schemas.openxmlformats.org/officeDocument/2006/relationships/hyperlink" Id="rId80" Target="http://news.stcn.com/2013/0924/10771613.shtml" TargetMode="External" /><Relationship Type="http://schemas.openxmlformats.org/officeDocument/2006/relationships/hyperlink" Id="rId64" Target="http://news.stcn.com/2013/0924/10771615.shtml" TargetMode="External" /><Relationship Type="http://schemas.openxmlformats.org/officeDocument/2006/relationships/hyperlink" Id="rId53" Target="http://news.stcn.com/2013/0925/10775042.shtml" TargetMode="External" /><Relationship Type="http://schemas.openxmlformats.org/officeDocument/2006/relationships/hyperlink" Id="rId39" Target="http://news.stcn.com/2013/0925/10775115.shtml" TargetMode="External" /><Relationship Type="http://schemas.openxmlformats.org/officeDocument/2006/relationships/hyperlink" Id="rId57" Target="http://news.stcn.com/2013/0926/10778303.shtml" TargetMode="External" /><Relationship Type="http://schemas.openxmlformats.org/officeDocument/2006/relationships/hyperlink" Id="rId77" Target="http://news.stcn.com/2013/0926/10778711.shtml" TargetMode="External" /><Relationship Type="http://schemas.openxmlformats.org/officeDocument/2006/relationships/hyperlink" Id="rId28" Target="http://news.stcn.com/2013/0926/10778737.shtml" TargetMode="External" /><Relationship Type="http://schemas.openxmlformats.org/officeDocument/2006/relationships/hyperlink" Id="rId25" Target="http://news.stcn.com/2013/0926/10778741.shtml" TargetMode="External" /><Relationship Type="http://schemas.openxmlformats.org/officeDocument/2006/relationships/hyperlink" Id="rId47" Target="http://news.stcn.com/2013/0926/10778745.shtml" TargetMode="External" /><Relationship Type="http://schemas.openxmlformats.org/officeDocument/2006/relationships/hyperlink" Id="rId50" Target="http://news.stcn.com/2013/0926/10778771.shtml" TargetMode="External" /><Relationship Type="http://schemas.openxmlformats.org/officeDocument/2006/relationships/hyperlink" Id="rId86" Target="http://news.stcn.com/2013/0926/10778834.shtml" TargetMode="External" /><Relationship Type="http://schemas.openxmlformats.org/officeDocument/2006/relationships/hyperlink" Id="rId74" Target="http://news.stcn.com/2013/0926/10778837.shtml" TargetMode="External" /><Relationship Type="http://schemas.openxmlformats.org/officeDocument/2006/relationships/hyperlink" Id="rId67" Target="http://news.stcn.com/2013/0926/10778999.shtml" TargetMode="External" /><Relationship Type="http://schemas.openxmlformats.org/officeDocument/2006/relationships/hyperlink" Id="rId32" Target="http://news.stcn.com/2013/0927/10781989.shtml" TargetMode="External" /><Relationship Type="http://schemas.openxmlformats.org/officeDocument/2006/relationships/hyperlink" Id="rId21" Target="http://www.charltonslaw.com.cn/china-news-alerts-cn-issue-374/" TargetMode="External" /><Relationship Type="http://schemas.openxmlformats.org/officeDocument/2006/relationships/hyperlink" Id="rId60" Target="http://www.chinatax.gov.cn/n8136506/n8136593/n8137537/n8138532/12379509.html" TargetMode="External" /><Relationship Type="http://schemas.openxmlformats.org/officeDocument/2006/relationships/hyperlink" Id="rId88"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第374期 - 2013年09月27日</dc:title>
  <dc:creator/>
</cp:coreProperties>
</file>