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第377期</w:t>
      </w:r>
      <w:r>
        <w:t xml:space="preserve"> </w:t>
      </w:r>
      <w:r>
        <w:t xml:space="preserve">-</w:t>
      </w:r>
      <w:r>
        <w:t xml:space="preserve"> </w:t>
      </w:r>
      <w:r>
        <w:t xml:space="preserve">2013年10月11日</w:t>
      </w:r>
    </w:p>
    <w:p>
      <w:hyperlink r:id="rId21">
        <w:r>
          <w:rPr>
            <w:rStyle w:val="Link"/>
          </w:rPr>
          <w:t xml:space="preserve">网络版</w:t>
        </w:r>
      </w:hyperlink>
    </w:p>
    <w:p>
      <w:pPr>
        <w:pStyle w:val="Heading1"/>
      </w:pPr>
      <w:bookmarkStart w:id="22" w:name="法讯中国第377期"/>
      <w:bookmarkEnd w:id="22"/>
      <w:r>
        <w:t xml:space="preserve">法讯中国第377期</w:t>
      </w:r>
    </w:p>
    <w:p>
      <w:pPr>
        <w:pStyle w:val="Heading2"/>
      </w:pPr>
      <w:bookmarkStart w:id="23" w:name="资本市场"/>
      <w:bookmarkEnd w:id="23"/>
      <w:r>
        <w:t xml:space="preserve">资本市场</w:t>
      </w:r>
    </w:p>
    <w:p>
      <w:pPr>
        <w:pStyle w:val="Heading3"/>
      </w:pPr>
      <w:bookmarkStart w:id="24" w:name="上交所发布实施上市公司信披评价办法"/>
      <w:bookmarkEnd w:id="24"/>
      <w:r>
        <w:t xml:space="preserve">上交所发布实施上市公司信披评价办法</w:t>
      </w:r>
    </w:p>
    <w:p>
      <w:r>
        <w:t xml:space="preserve">为了适应新形势下对上市公司信息披露监管的新要求，提高上市公司信息披露质量，增强监管透明度，上海证券交易所拟定了《上海证券交易所上市公司信息披露工作评价办法（试行）》，并予以发布实施。</w:t>
      </w:r>
    </w:p>
    <w:p>
      <w:r>
        <w:t xml:space="preserve">根据《评价办法》，上交所对上市公司信息披露工作进行评价将重点关注上市公司信息披露的真实性、准确性、完整性、及时性和公平性，并综合考虑上市公司及相关人员在信息披露事务管理工作中的勤勉尽责情况以及上交所关注的其他内容。</w:t>
      </w:r>
    </w:p>
    <w:p>
      <w:r>
        <w:t xml:space="preserve">上市公司信息披露工作评价分类每年度进行一次，评价期为上年5月1日至当年4月30日。根据信息披露工作评价情况，上交所将上市公司分为A、B、C、D四大监管类别，分别为信息披露优秀类、良好类、合格类及不合格类公司。</w:t>
      </w:r>
    </w:p>
    <w:p>
      <w:r>
        <w:t xml:space="preserve">《评价办法》尽量减少了主观因素或经验判断的影响。为了保证评价过程的客观公正，对上市公司信息披露工作的评价主要采用定量计分的方式进行，并结合一定的消极条款，即发生特定情形时直接被划入某监管类别，以综合确定上市公司的监管分类。</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海证监局建立五位一体投资者保护措施"/>
      <w:bookmarkEnd w:id="27"/>
      <w:r>
        <w:t xml:space="preserve">上海证监局建立“五位一体”投资者保护措施</w:t>
      </w:r>
    </w:p>
    <w:p>
      <w:r>
        <w:t xml:space="preserve">保护投资者合法权益是资本市场监管者近年来的重要工作之一。10月9日，上海证监局公布了“五位一体”的投资者保护措施，形成了覆盖证券经营机构主体信息、从业人员执业信息、诚信信息、销售金融产品信息、参与证券类广播电视节目信息的信息公示平台。</w:t>
      </w:r>
    </w:p>
    <w:p>
      <w:r>
        <w:t xml:space="preserve">首先，借助电子地图，强化机构信息公示。其次，便于投资者了解、监督证券服务人员，上海证监局借助执业信息平台，强化人员信息公示，完善了营销人员、投顾人员先公示执业信息、后对外开展业务的执业流程。同时，上海证监局借助诚信平台，强化执业行为约束，建立了辖区从业人员诚信信息平台。另外，上海证监局借助产品备案平台，强化产品信息公示，建立了“证券机构销售金融产品备案平台”。 针对证券类广播电视节目鱼龙混杂，存在事前管理难、事中监控难、投资者鉴别难等问题，上海证监局借助广电节目备案平台，规范参与节目行为，建立了“证券公司及证券投资咨询公司参与上海辖区广播电视证券节目备案信息平台”。</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公司首次登陆波兰资本市场"/>
      <w:bookmarkEnd w:id="30"/>
      <w:r>
        <w:t xml:space="preserve">中国公司首次登陆波兰资本市场</w:t>
      </w:r>
    </w:p>
    <w:p>
      <w:r>
        <w:t xml:space="preserve">中国培新国际公司10月9日正式在波兰华沙证券交易所上市，成为首家在波兰上市的中国公司。培新国际公司此次在华沙公开发售100万股，其中20万股面向私人投资者，单股发行价格为16兹罗提（约合5美元）。华沙证券交易所是中东欧地区规模最大的有价证券交易市场，同时也是欧洲发展最快的交易市场之一。</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并购"/>
      <w:bookmarkEnd w:id="33"/>
      <w:r>
        <w:t xml:space="preserve">并购</w:t>
      </w:r>
    </w:p>
    <w:p>
      <w:pPr>
        <w:pStyle w:val="Heading3"/>
      </w:pPr>
      <w:bookmarkStart w:id="34" w:name="并购重组分道制审核10月8日启动-10券商获评a类"/>
      <w:bookmarkEnd w:id="34"/>
      <w:r>
        <w:t xml:space="preserve">并购重组分道制审核10月8日启动 10券商获评A类</w:t>
      </w:r>
    </w:p>
    <w:p>
      <w:r>
        <w:t xml:space="preserve">10月8日起，上市公司并购重组将开始实施分道制审核，以“好人、好事、好中介”为遴选标准，符合条件的并购重组申请，将可进入豁免审核或快速审核通道。28日，中国证券业协会发布首批证券公司从事上市公司并购重组财务顾问业务执业能力专业评价结果，10家获评为A类的券商所承做的项目，将有望进入豁免/快速通道。</w:t>
      </w:r>
    </w:p>
    <w:p>
      <w:r>
        <w:t xml:space="preserve">分道制是证监会对并购重组行政许可申请审核时，根据财务顾问的执业能力、上市公司的规范运作和诚信状况、产业政策和交易类型的不同，实行差异化的审核制度安排。工作程序当中，采取由证券交易所和证监局、证券业协会、财务顾问分别对上市公司合规情况、中介机构执业能力、产业政策及交易类型三个分项进行评价，之后根据分项评价的汇总结果，将并购重组申请划入豁免/快速、正常、审慎三条审核通道的做法。</w:t>
      </w:r>
    </w:p>
    <w:p>
      <w:r>
        <w:t xml:space="preserve">按照中证协公布的《2013年度证券公司从事上市公司并购重组财务顾问业务执业能力专业评价结果》，10家券商被评为A类，24家获评B类，38家公司被评为C类。10家获评A类的公司分别为：东海证券、广发证券、国泰君安、华泰联合、齐鲁证券、西南证券、中金公司、中信建投、中信证券、中银国际。</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河南一企业收购美通用飞机制造商获批"/>
      <w:bookmarkEnd w:id="37"/>
      <w:r>
        <w:t xml:space="preserve">河南一企业收购美通用飞机制造商获批</w:t>
      </w:r>
    </w:p>
    <w:p>
      <w:r>
        <w:t xml:space="preserve">继双汇集团控股股东双汇国际控股有限公司收购美国史密斯菲尔德食品公司获批之后，豫企收购美国知名通用飞机制造商——穆尼航空股份有限公司的计划也于近日有了最新进展。据河南美景集团确认，该公司收购穆尼航空公司已正式获美国外国在美投资审查委员会的批准，预计今年11月份完成交割。</w:t>
      </w:r>
    </w:p>
    <w:p>
      <w:r>
        <w:t xml:space="preserve">公开资料显示，成立于1929年的穆尼航空公司曾经是美国单发通用航空飞机制造领域的领导者，其设计生产的多种机型成为业内经典，飞机设计素以速度和燃油效率见长，被誉为市场上最安全的单引擎螺旋飞机制造商。但受美国经济及通用航空市场的周期性波动，穆尼航空公司此前曾经历多次停产重组及股权易手，最近的一次停产重组为2010年。</w:t>
      </w:r>
    </w:p>
    <w:p>
      <w:r>
        <w:t xml:space="preserve">成立于2002年的美景集团是一家拥有合资背景、经营范围涉及地产开发、文化产业、综合旅游、红酒产业等多个领域的大型综合性企业，此前曾收购美国纳帕谷的知名红酒庄园。通过收购穆尼航空公司进军通用航空领域被认为是美景集团多元化战略的另一举措。</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互联网金融再掀巨浪-阿里拟入主天弘基金"/>
      <w:bookmarkEnd w:id="40"/>
      <w:r>
        <w:t xml:space="preserve">互联网金融再掀巨浪 阿里拟入主天弘基金</w:t>
      </w:r>
    </w:p>
    <w:p>
      <w:r>
        <w:t xml:space="preserve">“余额宝”余波尚在，阿里巴巴与天弘基金的合作又迈向新的台阶，阿里巴巴计划斥资11.8亿元直接控股天弘基金，此外，天弘基金还扔下另一枚重磅炸弹——公司管理层将直接成为股东，持股比例达到11%。</w:t>
      </w:r>
    </w:p>
    <w:p>
      <w:r>
        <w:t xml:space="preserve">内蒙君正发布公告，阿里巴巴和内蒙君正拟以每4.50元的价格认购天弘基金的注册资本，计划持股比例分别达到51%和15.6%，此外，天弘基金管理层拟认购天弘基金5657.1万元的注册资本出资额，持股比例达到11%。拟增资扩股完毕后，天弘基金的注册资本将从1.8亿元增加至5.14亿。</w:t>
      </w:r>
    </w:p>
    <w:p>
      <w:r>
        <w:t xml:space="preserve">这一框架合作协议已经相关各方签署完毕，但最终达成尚需通过天弘基金股东会审议和中国证监会的批准。</w:t>
      </w:r>
    </w:p>
    <w:p>
      <w:r>
        <w:t xml:space="preserve">若该计划成行，对于基金业而言，无疑是振奋人心的。这是截至目前首例公开曝光的基金公司管理层持股计划。</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基金"/>
      <w:bookmarkEnd w:id="43"/>
      <w:r>
        <w:t xml:space="preserve">基金</w:t>
      </w:r>
    </w:p>
    <w:p>
      <w:pPr>
        <w:pStyle w:val="Heading3"/>
      </w:pPr>
      <w:bookmarkStart w:id="44" w:name="群雄逐鹿大资管"/>
      <w:bookmarkEnd w:id="44"/>
      <w:r>
        <w:t xml:space="preserve">群雄逐鹿大资管</w:t>
      </w:r>
    </w:p>
    <w:p>
      <w:r>
        <w:t xml:space="preserve">证监会最新披露信息显示，中金公司已递交设立全资基金子公司的申请并获受理，这是新基金法实施以来首个券商设立全资基金子公司的申请。同时，首个保险系基金公司国寿安保基金公司也已通过评审会。而近日一则“中信银行获首批理财资产管理业务试点资格”公告的发布，也让业内人士惊呼资管群雄逐鹿的时代正在到来。</w:t>
      </w:r>
    </w:p>
    <w:p>
      <w:r>
        <w:t xml:space="preserve">事实上，中金公司设立基金子公司已经进行了一段时间准备。此前，受制于“内资基金公司单一股东持股比例不得超过49%”的要求，全资基金子公司并不能成行，新《基金法》6月开始实施后，这一限制被打开。据悉，中金基金的注册资本拟为1亿元。</w:t>
      </w:r>
    </w:p>
    <w:p>
      <w:r>
        <w:t xml:space="preserve">而中信银行宣布获批理财资产管理业务试点，则给监管层力推的这一创新业务做了最新的注脚——银行正式进入资产管理领域，泛资管时代已然来临。“这可以被看成是金融机构开展混业经营的一个重要尝试。”某股份制商业银行财富管理部负责人表示。在他看来，在利率市场化加快和信贷资产证券化的大环境下，银行理财向资产管理业务转型是银行理财的必然选择。</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金融"/>
      <w:bookmarkEnd w:id="47"/>
      <w:r>
        <w:t xml:space="preserve">金融</w:t>
      </w:r>
    </w:p>
    <w:p>
      <w:pPr>
        <w:pStyle w:val="Heading3"/>
      </w:pPr>
      <w:bookmarkStart w:id="48" w:name="中国央行与欧央行签本币互换协议"/>
      <w:bookmarkEnd w:id="48"/>
      <w:r>
        <w:t xml:space="preserve">中国央行与欧央行签本币互换协议</w:t>
      </w:r>
    </w:p>
    <w:p>
      <w:r>
        <w:t xml:space="preserve">中国央行10月10日宣布，2013年10月9日，与欧洲中央银行签署了规模为3500亿元人民币/450亿欧元的中欧双边本币互换协议，旨在为双边经贸往来提供支持，并维护金融稳定。互换协议有效期三年，经双方同意可以展期。</w:t>
      </w:r>
    </w:p>
    <w:p>
      <w:r>
        <w:t xml:space="preserve">2013年以来，中国央行与欧洲中央银行就建立中欧双边本币互换安排一事进行了积极有效的磋商。在2013年9月的国际清算银行例会上，央行行长周小川与欧洲央行行长德拉吉就有关安排达成了一致。在各自完成相关批准程序后，双方于10月9日正式签署了本币互换协议。</w:t>
      </w:r>
    </w:p>
    <w:p>
      <w:r>
        <w:t xml:space="preserve">央行称，与欧洲中央银行建立双边本币互换安排，可为欧元区人民币市场的进一步发展提供流动性支持，促进人民币在境外市场的使用，也有利于贸易和投资的便利化。中欧双边本币互换协议的签署，标志着中国央行与欧洲中央银行在货币金融领域的合作取得了新的进展。</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外资投资境内金融机构可用人民币结算"/>
      <w:bookmarkEnd w:id="51"/>
      <w:r>
        <w:t xml:space="preserve">外资投资境内金融机构可用人民币结算</w:t>
      </w:r>
    </w:p>
    <w:p>
      <w:r>
        <w:t xml:space="preserve">中国人民银行日前发文明确了相关事项。央行称，境外投资者经国务院金融监督管理机构批准，按有关法律规定投资境内金融机构，可使用人民币投资，具体包括新设、增资、并购、参股、股权转让、利润分配、清算、减资、股份减持或先行收回投资等。此举旨在规范和便利境外投资者在境内设立、并购和参股金融机构等业务使用人民币进行跨境结算。</w:t>
      </w:r>
    </w:p>
    <w:p>
      <w:r>
        <w:t xml:space="preserve">境外投资者在办理境外人民币投资资金汇入境内业务时，按照国务院金融监督管理机构相应的管理办法，需先审批后验资的，应向境内结算银行提交监管部门的批准文件等有关材料办理验资业务。需先验资再审批的，可先凭向监管部门提交的申请材料副本办理验资业务，待获得批准或备案文件后再向结算银行补充提供，如未获批准，汇入境内的资金应原路退回。</w:t>
      </w:r>
    </w:p>
    <w:p>
      <w:r>
        <w:t xml:space="preserve">央行规定，境外投资者将其所得的人民币利润汇出境内时，境内结算银行在审核外资金融机构有关利润处置决议及纳税证明等有关材料后可直接办理。境外投资者将因减资、转股、清算、先行回收投资等所得人民币资金汇出境内时，境内结算银行应当在审核国务院金融监督管理机构的批准或备案文件和纳税证明后，为其办理人民币资金汇出境内的手续。</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债券"/>
      <w:bookmarkEnd w:id="54"/>
      <w:r>
        <w:t xml:space="preserve">债券</w:t>
      </w:r>
    </w:p>
    <w:p>
      <w:pPr>
        <w:pStyle w:val="Heading3"/>
      </w:pPr>
      <w:bookmarkStart w:id="55" w:name="国债预发行试点正式启动-交易门槛100万元"/>
      <w:bookmarkEnd w:id="55"/>
      <w:r>
        <w:t xml:space="preserve">国债预发行试点正式启动 交易门槛100万元</w:t>
      </w:r>
    </w:p>
    <w:p>
      <w:r>
        <w:t xml:space="preserve">10月10日，继贷款利率下限取消、国债期货重启和市场利率定价自律机制成立之后，中国金融市场又迎来了一项新的创新举措——国债预发行的正式落地。</w:t>
      </w:r>
    </w:p>
    <w:p>
      <w:r>
        <w:t xml:space="preserve">上海证券交易所公布，2013年记账式附息（二十期）国债将于10月10日、11日、14日和15日在该所交易系统开展国债预发行交易。这是我国第一只进行预发行交易的债券。</w:t>
      </w:r>
    </w:p>
    <w:p>
      <w:r>
        <w:t xml:space="preserve">本期国债期限为7年，预发行交易证券简称为WI132007，证券代码为751800；此次预发行交易采用收益率申报，基准收益率为3.992%，参考久期为6年。本期国债招标日为10月16日。</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2"/>
      </w:pPr>
      <w:bookmarkStart w:id="58" w:name="税务"/>
      <w:bookmarkEnd w:id="58"/>
      <w:r>
        <w:t xml:space="preserve">税务</w:t>
      </w:r>
    </w:p>
    <w:p>
      <w:pPr>
        <w:pStyle w:val="Heading3"/>
      </w:pPr>
      <w:bookmarkStart w:id="59" w:name="国家税务总局发布关于铁路货运组织改革后两端物流服务有关营业税和增值税问题的公告"/>
      <w:bookmarkEnd w:id="59"/>
      <w:r>
        <w:t xml:space="preserve">国家税务总局发布《关于铁路货运组织改革后两端物流服务有关营业税和增值税问题的公告》</w:t>
      </w:r>
    </w:p>
    <w:p>
      <w:r>
        <w:t xml:space="preserve">10月8日，国家税务总局发布《国家税务总局关于铁路货运组织改革后两端物流服务有关营业税和增值税问题的公告》（《公告》）。</w:t>
      </w:r>
    </w:p>
    <w:p>
      <w:r>
        <w:t xml:space="preserve">根据《公告》，铁路货运组织改革后，铁路局所属运输站段提供的装卸业务、煤炭抑尘业务、门到站和站到门的短途运输业务（主要包括公路短途运输、内河短途运输）、装载加固业务、铁路货场内的仓储业务等两端物流服务，不属于《国家税务总局关于中央铁路征收营业税问题的通知》（国税发〔2002〕44号）规定的集中缴纳营业税的中央铁路客货运服务范围，应按照现行营业税和增值税政策规定，由提供服务的纳税人向其机构所在地主管税务机关申报缴纳营业税或增值税。</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发改委勾画4g产业发展路线图"/>
      <w:bookmarkEnd w:id="63"/>
      <w:r>
        <w:t xml:space="preserve">发改委勾画4G产业发展路线图</w:t>
      </w:r>
    </w:p>
    <w:p>
      <w:r>
        <w:t xml:space="preserve">10月8日，发改委下发《关于组织实施2013年移动互联网及第四代移动通信(TD-LTE)产业化专项的通知》(简称《通知》)，提出将移动智能终端、可穿戴设备等八大领域作为下一阶段产业发展重点，并对申请相关产业专项的企业予以资金支持。对此，业内普遍认为发改委以政府文件形式确定4G产业发展方向，相当于勾画出一幅4G产业发展蓝图，将引领和推动整个产业的发展；而《通知》确定的移动终端、可穿戴设备等八大领域，则有望成为新的产业创投热点。</w:t>
      </w:r>
    </w:p>
    <w:p>
      <w:r>
        <w:t xml:space="preserve">《通知》指出，要把握全球移动互联网发展机遇，以移动智能终端为着力点，提高移动智能终端核心技术开发及产业化能力。加快移动互联网关键技术的研发及应用，培育能够整合产业链上下游资源、具备一定规模的移动互联网骨干企业。完善公共服务平台建设，形成综合的移动互联网产业服务能力。推进TD-LTE技术在重点领域的创新示范应用，带动TD-LTE产业快速发展。</w:t>
      </w:r>
    </w:p>
    <w:p>
      <w:r>
        <w:t xml:space="preserve">《通知》还明确提出了八大领域作为产业发展重点，其中包括：移动智能终端新型应用系统研发及产业化、面向移动互联网的可穿戴设备研发及产业化、移动互联网和智能终端公共服务平台建设、移动智能终端开发及产业化环境建设、高速宽带无线接入设备研发及产业化、移动互联网大数据关键技术研发及产业化和基于TD-LTE的行业创新应用示范。</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其他"/>
      <w:bookmarkEnd w:id="66"/>
      <w:r>
        <w:t xml:space="preserve">其他</w:t>
      </w:r>
    </w:p>
    <w:p>
      <w:pPr>
        <w:pStyle w:val="Heading3"/>
      </w:pPr>
      <w:bookmarkStart w:id="67" w:name="年10月1日起开始实施的法律法规"/>
      <w:bookmarkEnd w:id="67"/>
      <w:r>
        <w:t xml:space="preserve">2013年10月1日起开始实施的法律法规</w:t>
      </w:r>
    </w:p>
    <w:p>
      <w:r>
        <w:t xml:space="preserve">一、《中华人民共和国旅游法》，自2013年10月1日起施行。</w:t>
      </w:r>
    </w:p>
    <w:p>
      <w:r>
        <w:t xml:space="preserve">二、国务院通过发布《长江三峡水利枢纽安全保卫条例》，自2013年10月1日起施行。</w:t>
      </w:r>
    </w:p>
    <w:p>
      <w:r>
        <w:t xml:space="preserve">三、最高人民法院发布了《关于公布失信被执行人名单信息的若干规定》，该规定自2013年10月1日起施行。</w:t>
      </w:r>
    </w:p>
    <w:p>
      <w:r>
        <w:t xml:space="preserve">四、国家质量监督检验检疫总局《家用汽车产品修理、更换、退货责任规定》，自2013年10月1日起施行。</w:t>
      </w:r>
    </w:p>
    <w:p>
      <w:r>
        <w:t xml:space="preserve">五、国家卫生和计划生育委员会日前公布的《新食品原料安全性审查管理办法》，自2013年10月1日起施行。</w:t>
      </w:r>
    </w:p>
    <w:p>
      <w:r>
        <w:t xml:space="preserve">六、中国保监会制定了《人身保险公司服务评价管理办法》，自2013年10月1日起施行。</w:t>
      </w:r>
    </w:p>
    <w:p>
      <w:r>
        <w:t xml:space="preserve">七、国家旅游局《旅游行政处罚办法》，自2013年10月1日起施行。</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东方明珠石油高层遭香港廉署证监会双重指控"/>
      <w:bookmarkEnd w:id="70"/>
      <w:r>
        <w:t xml:space="preserve">东方明珠石油高层遭香港廉署证监会双重指控</w:t>
      </w:r>
    </w:p>
    <w:p>
      <w:r>
        <w:t xml:space="preserve">10月7日，香港廉署正式落案起诉上市公司东方明珠石油有限公司（下称“东方明珠石油”）高层，其中包括前全国政协委员刘梦熊和商人黄煜坤（别名黄坤）。两人涉嫌在收购美国油气田时串谋诈骗香港联交所。</w:t>
      </w:r>
    </w:p>
    <w:p>
      <w:r>
        <w:t xml:space="preserve">4名被告涉嫌利用虚假陈述，谎称由黄坤全资拥有的私人控股企业购买美国犹他州油气田控股公司35%的股权，涉资7000万美元，借此大幅拉升交易估值。相比串谋诈骗，若控方证实虚假陈述，最高可判入狱14年。</w:t>
      </w:r>
    </w:p>
    <w:p>
      <w:r>
        <w:t xml:space="preserve">此案还惊动了SFC介入跨部门调查，初步结果显示，黄坤涉嫌借用4名商业伙伴及下属，以8.25亿港元出售其所持有的东方明珠股权，却从未支付款项，以代持股份之名故意躲避全面要约，违反《收购守则》。</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第377期 - 2013年10月11日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26702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epaper/index/content_508103.htm" TargetMode="External" /><Relationship Type="http://schemas.openxmlformats.org/officeDocument/2006/relationships/hyperlink" Id="rId41" Target="http://epaper.stcn.com/paper/zqsb/html/epaper/index/content_508155.htm" TargetMode="External" /><Relationship Type="http://schemas.openxmlformats.org/officeDocument/2006/relationships/hyperlink" Id="rId52" Target="http://epaper.stcn.com/paper/zqsb/html/epaper/index/content_508552.htm" TargetMode="External" /><Relationship Type="http://schemas.openxmlformats.org/officeDocument/2006/relationships/hyperlink" Id="rId71" Target="http://finance.sina.com.cn/chanjing/gsnews/20131009/023216925946.shtml" TargetMode="External" /><Relationship Type="http://schemas.openxmlformats.org/officeDocument/2006/relationships/hyperlink" Id="rId25" Target="http://news.stcn.com/2013/1008/10793619.shtml" TargetMode="External" /><Relationship Type="http://schemas.openxmlformats.org/officeDocument/2006/relationships/hyperlink" Id="rId45" Target="http://news.stcn.com/2013/1009/10796744.shtml" TargetMode="External" /><Relationship Type="http://schemas.openxmlformats.org/officeDocument/2006/relationships/hyperlink" Id="rId64" Target="http://news.stcn.com/2013/1009/10797106.shtml" TargetMode="External" /><Relationship Type="http://schemas.openxmlformats.org/officeDocument/2006/relationships/hyperlink" Id="rId38" Target="http://news.stcn.com/2013/1009/10797317.shtml" TargetMode="External" /><Relationship Type="http://schemas.openxmlformats.org/officeDocument/2006/relationships/hyperlink" Id="rId56" Target="http://news.stcn.com/2013/1010/10800394.shtml" TargetMode="External" /><Relationship Type="http://schemas.openxmlformats.org/officeDocument/2006/relationships/hyperlink" Id="rId31" Target="http://news.stcn.com/2013/1011/10803839.shtml" TargetMode="External" /><Relationship Type="http://schemas.openxmlformats.org/officeDocument/2006/relationships/hyperlink" Id="rId35" Target="http://stock.stcn.com/2013/0930/10789705.shtml" TargetMode="External" /><Relationship Type="http://schemas.openxmlformats.org/officeDocument/2006/relationships/hyperlink" Id="rId21" Target="http://www.charltonslaw.com.cn/china-news-alerts-cn-issue-377/" TargetMode="External" /><Relationship Type="http://schemas.openxmlformats.org/officeDocument/2006/relationships/hyperlink" Id="rId68" Target="http://www.chinalawyerinfo.com/_d274068230.htm" TargetMode="External" /><Relationship Type="http://schemas.openxmlformats.org/officeDocument/2006/relationships/hyperlink" Id="rId60" Target="http://www.chinatax.gov.cn/n2226/n2271/n2273/c446704/content.html" TargetMode="External" /><Relationship Type="http://schemas.openxmlformats.org/officeDocument/2006/relationships/hyperlink" Id="rId49" Target="http://www.pbc.gov.cn/publish/goutongjiaoliu/524/2013/20131010152513535451061/20131010152513535451061_.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1" Target="11.pdf" TargetMode="External" /><Relationship Type="http://schemas.openxmlformats.org/officeDocument/2006/relationships/hyperlink" Id="rId65"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8" Target="http://epaper.stcn.com/paper/zqsb/html/epaper/index/content_508103.htm" TargetMode="External" /><Relationship Type="http://schemas.openxmlformats.org/officeDocument/2006/relationships/hyperlink" Id="rId41" Target="http://epaper.stcn.com/paper/zqsb/html/epaper/index/content_508155.htm" TargetMode="External" /><Relationship Type="http://schemas.openxmlformats.org/officeDocument/2006/relationships/hyperlink" Id="rId52" Target="http://epaper.stcn.com/paper/zqsb/html/epaper/index/content_508552.htm" TargetMode="External" /><Relationship Type="http://schemas.openxmlformats.org/officeDocument/2006/relationships/hyperlink" Id="rId71" Target="http://finance.sina.com.cn/chanjing/gsnews/20131009/023216925946.shtml" TargetMode="External" /><Relationship Type="http://schemas.openxmlformats.org/officeDocument/2006/relationships/hyperlink" Id="rId25" Target="http://news.stcn.com/2013/1008/10793619.shtml" TargetMode="External" /><Relationship Type="http://schemas.openxmlformats.org/officeDocument/2006/relationships/hyperlink" Id="rId45" Target="http://news.stcn.com/2013/1009/10796744.shtml" TargetMode="External" /><Relationship Type="http://schemas.openxmlformats.org/officeDocument/2006/relationships/hyperlink" Id="rId64" Target="http://news.stcn.com/2013/1009/10797106.shtml" TargetMode="External" /><Relationship Type="http://schemas.openxmlformats.org/officeDocument/2006/relationships/hyperlink" Id="rId38" Target="http://news.stcn.com/2013/1009/10797317.shtml" TargetMode="External" /><Relationship Type="http://schemas.openxmlformats.org/officeDocument/2006/relationships/hyperlink" Id="rId56" Target="http://news.stcn.com/2013/1010/10800394.shtml" TargetMode="External" /><Relationship Type="http://schemas.openxmlformats.org/officeDocument/2006/relationships/hyperlink" Id="rId31" Target="http://news.stcn.com/2013/1011/10803839.shtml" TargetMode="External" /><Relationship Type="http://schemas.openxmlformats.org/officeDocument/2006/relationships/hyperlink" Id="rId35" Target="http://stock.stcn.com/2013/0930/10789705.shtml" TargetMode="External" /><Relationship Type="http://schemas.openxmlformats.org/officeDocument/2006/relationships/hyperlink" Id="rId21" Target="http://www.charltonslaw.com.cn/china-news-alerts-cn-issue-377/" TargetMode="External" /><Relationship Type="http://schemas.openxmlformats.org/officeDocument/2006/relationships/hyperlink" Id="rId68" Target="http://www.chinalawyerinfo.com/_d274068230.htm" TargetMode="External" /><Relationship Type="http://schemas.openxmlformats.org/officeDocument/2006/relationships/hyperlink" Id="rId60" Target="http://www.chinatax.gov.cn/n2226/n2271/n2273/c446704/content.html" TargetMode="External" /><Relationship Type="http://schemas.openxmlformats.org/officeDocument/2006/relationships/hyperlink" Id="rId49" Target="http://www.pbc.gov.cn/publish/goutongjiaoliu/524/2013/20131010152513535451061/20131010152513535451061_.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第377期 - 2013年10月11日</dc:title>
  <dc:creator/>
</cp:coreProperties>
</file>