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第378期</w:t>
      </w:r>
      <w:r>
        <w:t xml:space="preserve"> </w:t>
      </w:r>
      <w:r>
        <w:t xml:space="preserve">-</w:t>
      </w:r>
      <w:r>
        <w:t xml:space="preserve"> </w:t>
      </w:r>
      <w:r>
        <w:t xml:space="preserve">2013年10月21日</w:t>
      </w:r>
    </w:p>
    <w:p>
      <w:hyperlink r:id="rId21">
        <w:r>
          <w:rPr>
            <w:rStyle w:val="Link"/>
          </w:rPr>
          <w:t xml:space="preserve">网络版</w:t>
        </w:r>
      </w:hyperlink>
    </w:p>
    <w:p>
      <w:pPr>
        <w:pStyle w:val="Heading1"/>
      </w:pPr>
      <w:bookmarkStart w:id="22" w:name="法讯中国第378期"/>
      <w:bookmarkEnd w:id="22"/>
      <w:r>
        <w:t xml:space="preserve">法讯中国第378期</w:t>
      </w:r>
    </w:p>
    <w:p>
      <w:pPr>
        <w:pStyle w:val="Heading2"/>
      </w:pPr>
      <w:bookmarkStart w:id="23" w:name="资本市场"/>
      <w:bookmarkEnd w:id="23"/>
      <w:r>
        <w:t xml:space="preserve">资本市场</w:t>
      </w:r>
    </w:p>
    <w:p>
      <w:pPr>
        <w:pStyle w:val="Heading3"/>
      </w:pPr>
      <w:bookmarkStart w:id="24" w:name="证监会制定多项举措防止行政处罚权下放负面效应"/>
      <w:bookmarkEnd w:id="24"/>
      <w:r>
        <w:t xml:space="preserve">证监会制定多项举措防止行政处罚权下放负面效应</w:t>
      </w:r>
    </w:p>
    <w:p>
      <w:r>
        <w:t xml:space="preserve">中国证监会派出机构行使行政处罚权的各项工作已经部署到位，为防止处罚权下放之后产生地方保护主义，证监会制定了多项防范措施。</w:t>
      </w:r>
    </w:p>
    <w:p>
      <w:r>
        <w:t xml:space="preserve">证监会新闻发言人介绍，根据《中国证券监督管理委员会派出机构行政处罚工作规定》要求，派出机构行政处罚案件实行备案制度，所有案件必须报证监会相关部门备案，负责备案的部门将适用统一的标准对每一个案件的主要事实、事实定性、责任区分、量罚的适当性、审理程序的合法性等方面进行全面复核。派出机构对认定或处理意见进行重大调整的，必须再次备案。同时，为防范地方保护主义等风险，专门确立了案件提审和指定管辖制度，证监会相关部门认为有必要时，可以审理原由派出机构审理的案件，也可以指定其他派出机构进行异地审理。</w:t>
      </w:r>
    </w:p>
    <w:p>
      <w:r>
        <w:t xml:space="preserve">新闻发言人称，根据本次授权，派出机构对除大案要案、复杂疑难案件以及其他可能对当事人权益造成重大影响的案件之外的自立自办案件进行审理、作出处罚，案件审理标准比较明确，所有处罚案件都将及时公开，接受群众、市场和媒体广泛监督，对不处罚的案件，也将留痕留档，接受各方审查。同时，证监会已制定了证券违法行为的认定标准，下一步还将继续予以完善和细化，派出机构在审理案件的时候，必须予以遵守。</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保护中小投资者就是保护资本市场"/>
      <w:bookmarkEnd w:id="27"/>
      <w:r>
        <w:t xml:space="preserve">保护中小投资者就是保护资本市场</w:t>
      </w:r>
    </w:p>
    <w:p>
      <w:r>
        <w:t xml:space="preserve">中国证监会主席10月16日发表题为《保护中小投资者就是保护资本市场》署名文章，文章分析了保护市场中小投资者利益的重要性，同时申明将多举措保障投资者利益，力图在全社会形成保护中小投资者的良好氛围，使中小投资者享受到资本市场改革发展的红利，让资本市场助力实现“中国梦”。</w:t>
      </w:r>
    </w:p>
    <w:p>
      <w:r>
        <w:t xml:space="preserve">文章指出，证券期货监管工作肩负着保护中小投资者的使命和职责，面对新形势、新要求，要从根本上转变观念，统一认识，把维护中小投资者合法权益贯穿监管工作始终。及时完善监管制度，严格执行法律法规。全面加强监管协作，形成保护工作合力。完善与中小投资者的沟通机制，及时对中小投资者诉求做出回应。坚决查处欺诈发行、违法披露、内幕交易、操纵市场、老鼠仓等严重损害中小投资者利益的违法行为，提高违法违规成本。加强行政执法与刑事执法的有效衔接，提高证券期货犯罪案件查处效率。建立违法案件举报奖励制度，畅通举报渠道，完善举报查询、保密措施，有效保护举报人。健全考核制度，把维护中小投资者合法权益的职责履行情况作为衡量监管工作成效的重要依据。大力开展监管执法宣传，建立守信受益、失信惩戒机制，强化市场主体诚信守法意识。</w:t>
      </w:r>
    </w:p>
    <w:p>
      <w:r>
        <w:t xml:space="preserve">肖钢称，中小投资者权益保护是涉及全社会的系统工程，要加强与各地方、各部门的配合与合作，建立常态化联系沟通机制，努力搭建“法律保护、监管保护、自律保护、市场保护、自我保护”的保护体系，推动各方力量共同参与，形成合力。建立覆盖全市场诚信记录的数据库，实现部际信息共享。上市公司、市场经营机构要遵守维护中小投资者权益的各项制度，倡导诚信经营和股权文化。建立中小投资者权益保障评价机制，充分发挥社会监督作用，在全社会形成保护中小投资者的良好氛围，使中小投资者享受到资本市场改革发展的红利，让资本市场助力实现“中国梦”。</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央行房地产信贷政策没有调整"/>
      <w:bookmarkEnd w:id="30"/>
      <w:r>
        <w:t xml:space="preserve">央行：房地产信贷政策没有调整</w:t>
      </w:r>
    </w:p>
    <w:p>
      <w:r>
        <w:t xml:space="preserve">中国人民银行新闻发言人10月16日表示，央行从货币信贷政策角度，主要是继续贯彻落实好差别化住房信贷政策，积极满足居民家庭首套自住购房的合理信贷需求，不断加大对中小套型普通商品住房和保障性安居工程建设的支持力度，这个政策方向没有改变。</w:t>
      </w:r>
    </w:p>
    <w:p>
      <w:r>
        <w:t xml:space="preserve">发言人说，前三季度部分银行个人住房贷款增长较快，9月以来，一些中小型银行在贷款结构方面有所调整，部分城市个人住房贷款的审批和发放时间有不同程度的延长。“下一步将密切跟踪监测个人住房贷款市场变化情况，加强与相关部门的协调配合，鼓励和引导金融机构进一步改进和完善住房金融服务，积极支持保障性安居工程、中小套型普通商品住房建设和居民家庭首套自住购房需求，促进房地产市场持续稳定健康发展。”</w:t>
      </w:r>
    </w:p>
    <w:p>
      <w:r>
        <w:t xml:space="preserve">发言人称，数据表明，一些货币政策措施，如加大差别准备金动态调整机制有关参数的调节力度、拓宽支农再贷款适用范围、适时增加再贷款再贴现额度、全面放开金融机构贷款利率管制等等，取得了一定的成效，信贷结构的调整符合宏观调控方向。但也要看到，近期贷款增速相对还是较快，特别是在外贸顺差继续扩大、外汇大幅流入的情况下，货币信贷扩张的压力仍然较大。下阶段央行将继续实施稳健的货币政策，把握好稳增长、调结构、促改革、防风险的平衡点，适时适度预调微调，为经济结构调整与转型升级创造稳定的金融环境和货币条件。</w:t>
      </w:r>
    </w:p>
    <w:p>
      <w:r>
        <w:t xml:space="preserve">关于存款利率市场化的问题，发言人表示，将会同有关部门着力培育各项基础条件，健全市场利率定价自律机制，强化金融市场基准利率体系建设，为进一步推进利率市场化改革创造有利条件。同时，从在银行间市场上发行同业存单入手，待条件成熟时发行面向企业及个人的大额存单，逐步扩大金融机构负债产品的市场化定价范围，稳妥、有序地推进存款利率市场化改革。</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2"/>
      </w:pPr>
      <w:bookmarkStart w:id="33" w:name="保险"/>
      <w:bookmarkEnd w:id="33"/>
      <w:r>
        <w:t xml:space="preserve">保险</w:t>
      </w:r>
    </w:p>
    <w:p>
      <w:pPr>
        <w:pStyle w:val="Heading3"/>
      </w:pPr>
      <w:bookmarkStart w:id="34" w:name="保监会推进第二代偿付监管系统建设"/>
      <w:bookmarkEnd w:id="34"/>
      <w:r>
        <w:t xml:space="preserve">保监会推进第二代偿付监管系统建设</w:t>
      </w:r>
    </w:p>
    <w:p>
      <w:r>
        <w:t xml:space="preserve">10月16日，国际保险监督官协会（IAIS）执委会会议在台北举行。中国保监会主席项俊波在会上表示，中国保监会正在全速推进适应国情的第二代偿付能力监管制度体系（简称“偿二代”）建设。作为IAIS执委会成员，在国际保险监管改革与合作中，中国期望并有信心发挥更大的积极作用。</w:t>
      </w:r>
    </w:p>
    <w:p>
      <w:r>
        <w:t xml:space="preserve">此次会议是在国际保险监管改革关键时期召开的重要会议，重点讨论两项议题：一是关于国际保险集团监管共同框架包括草案的发布，以风险为基础的全球保险资本标准的制定和实施计划等；二是关于全球系统重要性保险机构（G-SII）的监管措施，包括简单备用的资本要求和更高损失吸收能力要求的制定方案等。</w:t>
      </w:r>
    </w:p>
    <w:p>
      <w:r>
        <w:t xml:space="preserve">项俊波在会上对国际保险监管改革取得的最新进展，尤其对IAIS正式确立了建立以风险为基础的全球保险资本标准的目标和方向表示支持和赞赏。他还表示，目前中国保险监管也正经历深刻变革，为提升行业风险管理水平和促进行业科学发展，中国保监会正在全速推进适应国情的偿二代建设。作为IAIS执委会成员，在国际保险监管改革与合作中，中国也期望并有信心发挥更大的积极作用。</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行业"/>
      <w:bookmarkEnd w:id="37"/>
      <w:r>
        <w:t xml:space="preserve">行业</w:t>
      </w:r>
    </w:p>
    <w:p>
      <w:pPr>
        <w:pStyle w:val="Heading3"/>
      </w:pPr>
      <w:bookmarkStart w:id="38" w:name="医疗服务业将全面向民营资本开放"/>
      <w:bookmarkEnd w:id="38"/>
      <w:r>
        <w:t xml:space="preserve">医疗服务业将全面向民营资本开放</w:t>
      </w:r>
    </w:p>
    <w:p>
      <w:r>
        <w:t xml:space="preserve">10月14日，国务院发布的《关于促进健康服务业发展的若干意见》明确，医疗服务业全面向民营资本开放，积极支持符合条件的健康服务业企业上市融资和发行债券。</w:t>
      </w:r>
    </w:p>
    <w:p>
      <w:r>
        <w:t xml:space="preserve">《意见》明确，企业、慈善机构、基金会、商业保险等机构均被鼓励以出资新建、参与改制、托管、公办民营等多种形式投资医疗服务行业。中央大力支持社会资本举办非营利性医疗机构，提供基本医疗卫生服务。</w:t>
      </w:r>
    </w:p>
    <w:p>
      <w:r>
        <w:t xml:space="preserve">此外，《意见》还鼓励金融机构创新适合健康服务业特点的金融产品和服务方式，积极支持符合条件的健康服务业企业上市融资和发行债券。鼓励各类创业投资机构和融资担保机构对健康服务创新型新业态、小微企业开展业务。明确提出政府引导、推动设立由金融和产业资本共同筹资的健康产业投资基金。</w:t>
      </w:r>
    </w:p>
    <w:p>
      <w:r>
        <w:t xml:space="preserve">同时，《意见》明确要求各地清理取消之前的“不合理的规定”，加快落实对非公立医疗机构和公立医疗机构在市场准入、社会保险定点、重点专科建设、职称评定、学术地位、等级评审、技术准入等方面同等对待的政策。</w:t>
      </w:r>
    </w:p>
    <w:p>
      <w:r>
        <w:t xml:space="preserve">而对于出资举办非营利性医疗机构的非公经济主体的上下游产业链项目，国务院此次明确优先按相关产业政策给予扶持。国家鼓励非公立医疗机构发展专业性医院管理集团；同时二级以上医疗机构检验对所有医疗机构开放，推动医疗机构间检查结果互认。</w:t>
      </w:r>
    </w:p>
    <w:p>
      <w:r>
        <w:t xml:space="preserve">此外，《意见》还特别提出，完善财税、价格政策，将社会资本举办的医疗机构纳入财政专项资金和政府投资补助范围，免征或减征行政事业性收费，其医疗服务价格全部实行市场调节价。</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推动兼并重组-央企将带头退出落后产能"/>
      <w:bookmarkEnd w:id="41"/>
      <w:r>
        <w:t xml:space="preserve">推动兼并重组 央企将带头退出落后产能</w:t>
      </w:r>
    </w:p>
    <w:p>
      <w:r>
        <w:t xml:space="preserve">为积极稳妥化解钢铁、水泥、电解铝、平板玻璃、船舶等行业产能严重过剩矛盾，指导其他产能过剩行业的化解工作，国务院近日印发《关于化解产能严重过剩矛盾的指导意见》。《意见》确定了当前化解产能严重过剩矛盾的8项主要任务，并在企业兼并重组方面明确多项任务和政策。根据行业特点，《意见》还专门针对五个行业提出了分业施策的具体意见。</w:t>
      </w:r>
    </w:p>
    <w:p>
      <w:r>
        <w:t xml:space="preserve">《指导意见》根据行业特点，分别提出了钢铁、水泥、电解铝、平板玻璃、船舶等行业分业施策意见，并确定了当前化解产能严重过剩矛盾的8项主要任务：一是严禁建设新增产能项目，分类妥善处理在建违规项目。二是全面清理整顿已建成的违规产能，加强规范和准入管理。三是坚决淘汰落后产能，引导产能有序退出。四是推进企业兼并重组，优化产业空间布局。五是努力开拓国内有效需求，着力改善需求结构。六是巩固扩大国际市场，拓展对外投资合作。七是突破核心关键技术，加强企业管理创新，增强企业创新驱动发展动力。八是创新政府管理，营造公平环境，完善市场机制，建立长效机制。</w:t>
      </w:r>
    </w:p>
    <w:p>
      <w:r>
        <w:t xml:space="preserve">《指导意见》还从加强和完善行业管理、强化土地环保监管、完善财税金融政策等方面，提出了化解产能严重过剩矛盾的配套政策措施。</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土部下放部分建设项目用地预审权限"/>
      <w:bookmarkEnd w:id="44"/>
      <w:r>
        <w:t xml:space="preserve">国土部下放部分建设项目用地预审权限</w:t>
      </w:r>
    </w:p>
    <w:p>
      <w:r>
        <w:t xml:space="preserve">为了落实国务院关于职能转变、简政放权的决定，国土部10月14日发布了关于下放部分建设项目用地预审权限的通知，要求坚决落实国务院关于取消和下放部分行政审批项目等事项的决定，下放备案类项目用地预审权限，进一步做好零星分散建设项目用地预审工作。</w:t>
      </w:r>
    </w:p>
    <w:p>
      <w:r>
        <w:t xml:space="preserve">今年以来，国务院取消和下放了一批行政审批事项，《国务院关于取消和下放一批行政审批项目等事项的决定》涉及国家发改委下放12类企业投资项目的核准权限，取消13类企业投资项目的核准事项，调整管理方式为备案。</w:t>
      </w:r>
    </w:p>
    <w:p>
      <w:r>
        <w:t xml:space="preserve">通知要求，对《决定》下放核准权限的12类项目，按照建设项目用地预审“同级审查”的原则，由省级或相应的地方国土资源主管部门办理。</w:t>
      </w:r>
    </w:p>
    <w:p>
      <w:r>
        <w:t xml:space="preserve">《决定》下放核准权限的12类项目包括：企业投资在非主要河流上建设的水电站项目，分布式燃气发电项目，燃煤背压热电项目，企业投资风电站项目，330千伏及以下电压等级的交流电网工程项目，列入国家规划的非跨境、跨省（区、市）500千伏电压等级的交流电网工程项目，钾矿肥、磷矿肥项目，国家规划矿区内新增年生产能力低于120万吨的煤矿开发项目，非跨境、跨省（区、市）的油气输送管网项目，除稀土矿山开发项目和已探明工业储量5000万吨及以上规模的铁矿开发项目外的其他矿山开发项目（不含煤矿、铀矿），稀土深加工项目，城市快速轨道交通项目，国家重点风景名胜区、国家自然保护区、全国重点文物保护单位区域内总投资5000万元以上的旅游开发和资源保护项目，世界自然和文化遗产保护区内总投资3000万元及以上的项目。</w:t>
      </w:r>
    </w:p>
    <w:p>
      <w:r>
        <w:t xml:space="preserve">通知还要求，按照投资管理权限规定，原相应需报部用地预审的备案类项目（含《决定》包括的核准类调整为备案类的项目），由省级国土资源主管部门预审。各地要严格依据有关法律法规和《建设项目用地预审管理办法》（国土部令第42号）等规定，规范程序，严格把关，加强监管。</w:t>
      </w:r>
    </w:p>
    <w:p>
      <w:r>
        <w:t xml:space="preserve">此外，国土部令第42号文件规定，应当由国土部负责预审的输电线塔基、钻探井位、通讯基站等小面积零星分散建设项目用地，由省级国土资源管理部门预审，并报国土部备案。各地要合理界定零星分散建设项目范围，切实负责，进一步做好用地预审服务。</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wto"/>
      <w:bookmarkEnd w:id="47"/>
      <w:r>
        <w:t xml:space="preserve">WTO</w:t>
      </w:r>
    </w:p>
    <w:p>
      <w:pPr>
        <w:pStyle w:val="Heading3"/>
      </w:pPr>
      <w:bookmarkStart w:id="48" w:name="李小加上海自贸区建设利好香港"/>
      <w:bookmarkEnd w:id="48"/>
      <w:r>
        <w:t xml:space="preserve">李小加：上海自贸区建设利好香港</w:t>
      </w:r>
    </w:p>
    <w:p>
      <w:r>
        <w:t xml:space="preserve">10月14日，港交所行政总裁李小加在最新发表的题为《自贸区来了，香港怎么办？》的网志中，详细阐述了上海自贸区与香港之间的关系与竞争。李小加认为，成立了上海自贸区后，对香港更有利，上海自贸区迅速发展将加快中国开放本地资本市场的速度与幅度，香港将很快成为中国资本国际化进程中初期的主要终点站和长期的中转站，而中国金融业的进一步开放将加快资本的流动，为香港金融业带来更大的蛋糕。</w:t>
      </w:r>
    </w:p>
    <w:p>
      <w:r>
        <w:t xml:space="preserve">李小加表示，上海自贸区将成为中国进一步改革开放的催化剂和加速器，它的成功将意味着中国经济的开放力度加大、速度加快，相当于内地和海外之间贸易与资金的直航限制有可能以自贸区为突破而逐渐放开。</w:t>
      </w:r>
    </w:p>
    <w:p>
      <w:r>
        <w:t xml:space="preserve">这一发展对香港的影响主要体现在两个方面。首先，香港资本市场前二十年的发展，已使全球资金、机构与人才大量沉积香港，香港已成为全球投资中国的最主要前沿阵地。其次，上海自贸区迅速发展对香港具有质变的利好体现在中国开放本地资本市场的速度与幅度。香港很快会从单向变成双向的中转站和终点站。</w:t>
      </w:r>
    </w:p>
    <w:p>
      <w:r>
        <w:t xml:space="preserve">至于上海自贸区会否加剧香港与上海之间的竞争，李小加则表示乐观，他指出，香港自开埠以来，无时无刻不在竞争当中。香港所面临的竞争，不仅是与上海或内地其他城市的竞争，更是在增量中的竞争。增量越大，增速越快，香港的机会越大。中央发展上海自贸区的力度越大，意味着开放速度会越快；上海自贸区的成功来得越快，意味着内地市场的开放来得越快，香港的成功也来得越快。他充满信心地认为，有了上海自贸区的中国一定是更加开放、更加国际化的中国，而在所有国际金融中心中，香港最有条件将中国的开放转化为自身的机遇，中国经济和金融开放的节奏越快，香港的机遇也越大。</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2"/>
      </w:pPr>
      <w:bookmarkStart w:id="51" w:name="并购"/>
      <w:bookmarkEnd w:id="51"/>
      <w:r>
        <w:t xml:space="preserve">并购</w:t>
      </w:r>
    </w:p>
    <w:p>
      <w:pPr>
        <w:pStyle w:val="Heading3"/>
      </w:pPr>
      <w:bookmarkStart w:id="52" w:name="东方精工联姻全球第二大瓦楞纸板设备商佛斯伯"/>
      <w:bookmarkEnd w:id="52"/>
      <w:r>
        <w:t xml:space="preserve">东方精工联姻全球第二大瓦楞纸板设备商佛斯伯</w:t>
      </w:r>
    </w:p>
    <w:p>
      <w:r>
        <w:t xml:space="preserve">一方是寻求国际化道路的本土瓦楞纸箱印刷成套设备厂商，一方是迫切希望打入中国市场的国际龙头。一纸股权收购协议，让东方精工（002611）和全球第二大瓦楞纸板设备生产商佛斯伯（意大利）之间的关系变得“亲密”起来。</w:t>
      </w:r>
    </w:p>
    <w:p>
      <w:r>
        <w:t xml:space="preserve">停牌三个月之久的东方精工10月14日晚间公布重大资产收购预案，拟以4080万欧元对价，收购佛斯伯（意大利）60%的股份。</w:t>
      </w:r>
    </w:p>
    <w:p>
      <w:r>
        <w:t xml:space="preserve">这次跨国并购，从某种意义上说，仅是股东层面的变更，佛斯伯原有的经营管理团队不做更迭，继续保持运营体系本土化运作。在分权独立运营之下，东方精工将从董事会层面集中管理，最大程度降低文化冲突的风险。</w:t>
      </w:r>
    </w:p>
    <w:p>
      <w:r>
        <w:t xml:space="preserve">同时，东方精工还可以借助佛斯伯的销售渠道快速拓展欧美中高端市场的客户，佛斯伯也能够借助东方精工在新兴市场特别是中国、印度市场完善的营销网络增加新的商业机会，从而实现双品牌的协同发展。</w:t>
      </w:r>
    </w:p>
    <w:p>
      <w:r>
        <w:t xml:space="preserve">通过完成对佛斯伯60%股份的收购，东方精工顺利向高端瓦楞纸板整线制造商迈进。目前，世界上有超过1000台佛斯伯设备在良好运行，佛斯伯在欧美市场已跻身为行业龙头。</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星辉车模计划8亿收购网游公司"/>
      <w:bookmarkEnd w:id="55"/>
      <w:r>
        <w:t xml:space="preserve">星辉车模计划8亿收购网游公司</w:t>
      </w:r>
    </w:p>
    <w:p>
      <w:r>
        <w:t xml:space="preserve">谋划打造新娱乐平台的星辉车模，继续进军游戏行业的步伐。公司10月18日披露，将通过发行股份及支付现金的方式，购买广东天拓资讯科技有限公司100%的股权，并向特定对象发行股份募集配套资金用于支付部分现金对价。</w:t>
      </w:r>
    </w:p>
    <w:p>
      <w:r>
        <w:t xml:space="preserve">今年以来，星辉车模陆续收购手游开发商畅娱天下、酷果平台，并取得金庸、梁羽生及温瑞安相关作品游戏改编权，积极促进“玩具+游戏”互动娱乐模式的产业协同价值，进一步强化网络游戏板块及产业化平台。</w:t>
      </w:r>
    </w:p>
    <w:p>
      <w:r>
        <w:t xml:space="preserve">资料显示，天拓科技主营业务为网络游戏的研发与运营及互联网广告的推广与服务。该公司成立于2000 年，在设立之初主要从事在线搜索广告投放业务，从2010年开始进入游戏研发领域，着重推行互动娱乐精品游戏。根据公告，天拓科技前三季度实现营业收入约1.3亿元，净利润约5025万元。</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中广核投资英核电站-140亿英镑项目获少数股权"/>
      <w:bookmarkEnd w:id="58"/>
      <w:r>
        <w:t xml:space="preserve">中广核投资英核电站 140亿英镑项目获少数股权</w:t>
      </w:r>
    </w:p>
    <w:p>
      <w:r>
        <w:t xml:space="preserve">10月17日，英国财政大臣乔治•奥斯本在广东江门中国广核集团(中广核)台山核电站宣布： 台山核电站采用的欧洲压水式反应堆(EPR)三代核电技术，将会被用于预计耗资140亿英镑的英国欣克利点C(Hinkley Point C)核电项目中。</w:t>
      </w:r>
    </w:p>
    <w:p>
      <w:r>
        <w:t xml:space="preserve">这意味中国中广核与英国政府、法国电力公司(EDF)之间漫长的“马拉松”谈判终于结束，英国正式支持中广核参与其新一代核反应堆建造。</w:t>
      </w:r>
    </w:p>
    <w:p>
      <w:r>
        <w:t xml:space="preserve">奥斯本表示：英国政府欢迎中国公司投资英国下一代核电建设，包括持有绝大多数股权。奥斯本的“背书”让英国媒体相信，中广核与法国电力很快将签署关于欣克利角核电站的一项合作意向书，该协议的主要商业细则将于下周一公布。</w:t>
      </w:r>
    </w:p>
    <w:p>
      <w:r>
        <w:t xml:space="preserve">10月17日，奥斯本表示：“尽管最初中国公司在核电项目的投资有可能仅占少数股份，但随着新核电站的建立，股份比例将有可能增加至多数。来自任何国家的投资都需遵守英国严格的安全与安保监管规定。”</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2"/>
      </w:pPr>
      <w:bookmarkStart w:id="61" w:name="保险-1"/>
      <w:bookmarkEnd w:id="61"/>
      <w:r>
        <w:t xml:space="preserve">保险</w:t>
      </w:r>
    </w:p>
    <w:p>
      <w:pPr>
        <w:pStyle w:val="Heading3"/>
      </w:pPr>
      <w:bookmarkStart w:id="62" w:name="两岸保险机构将加强交流互相参股"/>
      <w:bookmarkEnd w:id="62"/>
      <w:r>
        <w:t xml:space="preserve">两岸保险机构将加强交流互相参股</w:t>
      </w:r>
    </w:p>
    <w:p>
      <w:r>
        <w:t xml:space="preserve">海峡两岸首次保险监管合作会议10月17日在台北召开，中国保监会主席项俊波和台湾方面金融监督管理机构负责人曾铭宗就在《海峡两岸金融合作协议》和《海峡两岸保险业监督管理合作谅解备忘录》（MoU）框架下进一步加强海峡两岸保险监管合作、促进保险机构互设及业务经营、深入交流保险事务等进行了富有成效的讨论。</w:t>
      </w:r>
    </w:p>
    <w:p>
      <w:r>
        <w:t xml:space="preserve">双方就进一步加强监管合作达成如下共识：一是双方明确了日常联系人员、联系事项、联系方式和书面资料提供方式等内容；二是双方机构主要负责人及业务技术层面将分别举行定期及不定期会议，就双方共同关心的监管合作问题交换意见；三是双方原则同意在有关规定的许可范围内，经协商同意，采取适当方式进行现场检查。</w:t>
      </w:r>
    </w:p>
    <w:p>
      <w:r>
        <w:t xml:space="preserve">在促进保险机构互设及业务经营方面，大陆方面欢迎符合条件的台资保险业机构到大陆设立或参股保险营业机构，对于相关申请将根据有关规定予以积极考虑；对于合资寿险公司增资事宜，双方将协调解决；支持符合资格的已在大陆设立营业性机构的台资保险业机构参与上海税收递延养老保险试点项目。台湾方面欢迎符合条件的大陆保险业机构赴台设立代表处或办事处及参股保险业机构；就取消大陆保险业机构赴台设立代表处或办事处及参股评级要求事宜，台湾方面已进入修改规定阶段。</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5">
        <w:r>
          <w:rPr>
            <w:rStyle w:val="Link"/>
          </w:rPr>
          <w:t xml:space="preserve">unsubscribe@charltonslaw.com</w:t>
        </w:r>
      </w:hyperlink>
    </w:p>
    <w:p>
      <w:r>
        <w:rPr>
          <w:b/>
        </w:rPr>
        <w:t xml:space="preserve">易周律师行 - 法讯 - 中国 - 第378期 - 2013年10月21日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e0ae5d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4" Target="9.pdf" TargetMode="External" /><Relationship Type="http://schemas.openxmlformats.org/officeDocument/2006/relationships/hyperlink" Id="rId25" Target="http://epaper.stcn.com/paper/zqsb/html/epaper/index/content_508798.htm" TargetMode="External" /><Relationship Type="http://schemas.openxmlformats.org/officeDocument/2006/relationships/hyperlink" Id="rId49" Target="http://epaper.stcn.com/paper/zqsb/html/epaper/index/content_509253.htm" TargetMode="External" /><Relationship Type="http://schemas.openxmlformats.org/officeDocument/2006/relationships/hyperlink" Id="rId53" Target="http://epaper.stcn.com/paper/zqsb/html/epaper/index/content_509467.htm" TargetMode="External" /><Relationship Type="http://schemas.openxmlformats.org/officeDocument/2006/relationships/hyperlink" Id="rId45" Target="http://epaper.stcn.com/paper/zqsb/html/epaper/index/content_509475.htm" TargetMode="External" /><Relationship Type="http://schemas.openxmlformats.org/officeDocument/2006/relationships/hyperlink" Id="rId56" Target="http://epaper.stcn.com/paper/zqsb/html/epaper/index/content_510478.htm" TargetMode="External" /><Relationship Type="http://schemas.openxmlformats.org/officeDocument/2006/relationships/hyperlink" Id="rId63" Target="http://epaper.stcn.com/paper/zqsb/html/epaper/index/content_510510.htm" TargetMode="External" /><Relationship Type="http://schemas.openxmlformats.org/officeDocument/2006/relationships/hyperlink" Id="rId59" Target="http://finance.sina.com.cn/chanjing/gsnews/20131018/022217029692.shtml" TargetMode="External" /><Relationship Type="http://schemas.openxmlformats.org/officeDocument/2006/relationships/hyperlink" Id="rId35" Target="http://money.163.com/13/1017/01/9BBOHH7N00253B0H.html" TargetMode="External" /><Relationship Type="http://schemas.openxmlformats.org/officeDocument/2006/relationships/hyperlink" Id="rId21" Target="http://www.charltonslaw.com.cn/china-news-alerts-cn-issue-378/" TargetMode="External" /><Relationship Type="http://schemas.openxmlformats.org/officeDocument/2006/relationships/hyperlink" Id="rId28" Target="http://www.csrc.gov.cn/pub/newsite/bgt/xwdd/201310/t20131016_236317.htm" TargetMode="External" /><Relationship Type="http://schemas.openxmlformats.org/officeDocument/2006/relationships/hyperlink" Id="rId39" Target="http://www.gov.cn/zwgk/2013-10/14/content_2506399.htm" TargetMode="External" /><Relationship Type="http://schemas.openxmlformats.org/officeDocument/2006/relationships/hyperlink" Id="rId42" Target="http://www.gov.cn/zwgk/2013-10/15/content_2507143.htm" TargetMode="External" /><Relationship Type="http://schemas.openxmlformats.org/officeDocument/2006/relationships/hyperlink" Id="rId31" Target="http://www.pbc.gov.cn/publish/goutongjiaoliu/524/2013/20131016161150406120518/20131016161150406120518_.html" TargetMode="External" /><Relationship Type="http://schemas.openxmlformats.org/officeDocument/2006/relationships/hyperlink" Id="rId6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4" Target="12.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50" Target="8.pdf" TargetMode="External" /><Relationship Type="http://schemas.openxmlformats.org/officeDocument/2006/relationships/hyperlink" Id="rId54" Target="9.pdf" TargetMode="External" /><Relationship Type="http://schemas.openxmlformats.org/officeDocument/2006/relationships/hyperlink" Id="rId25" Target="http://epaper.stcn.com/paper/zqsb/html/epaper/index/content_508798.htm" TargetMode="External" /><Relationship Type="http://schemas.openxmlformats.org/officeDocument/2006/relationships/hyperlink" Id="rId49" Target="http://epaper.stcn.com/paper/zqsb/html/epaper/index/content_509253.htm" TargetMode="External" /><Relationship Type="http://schemas.openxmlformats.org/officeDocument/2006/relationships/hyperlink" Id="rId53" Target="http://epaper.stcn.com/paper/zqsb/html/epaper/index/content_509467.htm" TargetMode="External" /><Relationship Type="http://schemas.openxmlformats.org/officeDocument/2006/relationships/hyperlink" Id="rId45" Target="http://epaper.stcn.com/paper/zqsb/html/epaper/index/content_509475.htm" TargetMode="External" /><Relationship Type="http://schemas.openxmlformats.org/officeDocument/2006/relationships/hyperlink" Id="rId56" Target="http://epaper.stcn.com/paper/zqsb/html/epaper/index/content_510478.htm" TargetMode="External" /><Relationship Type="http://schemas.openxmlformats.org/officeDocument/2006/relationships/hyperlink" Id="rId63" Target="http://epaper.stcn.com/paper/zqsb/html/epaper/index/content_510510.htm" TargetMode="External" /><Relationship Type="http://schemas.openxmlformats.org/officeDocument/2006/relationships/hyperlink" Id="rId59" Target="http://finance.sina.com.cn/chanjing/gsnews/20131018/022217029692.shtml" TargetMode="External" /><Relationship Type="http://schemas.openxmlformats.org/officeDocument/2006/relationships/hyperlink" Id="rId35" Target="http://money.163.com/13/1017/01/9BBOHH7N00253B0H.html" TargetMode="External" /><Relationship Type="http://schemas.openxmlformats.org/officeDocument/2006/relationships/hyperlink" Id="rId21" Target="http://www.charltonslaw.com.cn/china-news-alerts-cn-issue-378/" TargetMode="External" /><Relationship Type="http://schemas.openxmlformats.org/officeDocument/2006/relationships/hyperlink" Id="rId28" Target="http://www.csrc.gov.cn/pub/newsite/bgt/xwdd/201310/t20131016_236317.htm" TargetMode="External" /><Relationship Type="http://schemas.openxmlformats.org/officeDocument/2006/relationships/hyperlink" Id="rId39" Target="http://www.gov.cn/zwgk/2013-10/14/content_2506399.htm" TargetMode="External" /><Relationship Type="http://schemas.openxmlformats.org/officeDocument/2006/relationships/hyperlink" Id="rId42" Target="http://www.gov.cn/zwgk/2013-10/15/content_2507143.htm" TargetMode="External" /><Relationship Type="http://schemas.openxmlformats.org/officeDocument/2006/relationships/hyperlink" Id="rId31" Target="http://www.pbc.gov.cn/publish/goutongjiaoliu/524/2013/20131016161150406120518/20131016161150406120518_.html" TargetMode="External" /><Relationship Type="http://schemas.openxmlformats.org/officeDocument/2006/relationships/hyperlink" Id="rId6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第378期 - 2013年10月21日</dc:title>
  <dc:creator/>
</cp:coreProperties>
</file>