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第379期</w:t>
      </w:r>
      <w:r>
        <w:t xml:space="preserve"> </w:t>
      </w:r>
      <w:r>
        <w:t xml:space="preserve">-</w:t>
      </w:r>
      <w:r>
        <w:t xml:space="preserve"> </w:t>
      </w:r>
      <w:r>
        <w:t xml:space="preserve">2013年10月28日</w:t>
      </w:r>
    </w:p>
    <w:p>
      <w:hyperlink r:id="rId21">
        <w:r>
          <w:rPr>
            <w:rStyle w:val="Link"/>
          </w:rPr>
          <w:t xml:space="preserve">网络版</w:t>
        </w:r>
      </w:hyperlink>
    </w:p>
    <w:p>
      <w:pPr>
        <w:pStyle w:val="Heading1"/>
      </w:pPr>
      <w:bookmarkStart w:id="22" w:name="法讯中国第379期"/>
      <w:bookmarkEnd w:id="22"/>
      <w:r>
        <w:t xml:space="preserve">法讯中国第379期</w:t>
      </w:r>
    </w:p>
    <w:p>
      <w:pPr>
        <w:pStyle w:val="Heading2"/>
      </w:pPr>
      <w:bookmarkStart w:id="23" w:name="资本市场"/>
      <w:bookmarkEnd w:id="23"/>
      <w:r>
        <w:t xml:space="preserve">资本市场</w:t>
      </w:r>
    </w:p>
    <w:p>
      <w:pPr>
        <w:pStyle w:val="Heading3"/>
      </w:pPr>
      <w:bookmarkStart w:id="24" w:name="上海期货交易所印发上海期货交易所套利交易管理办法和上海期货交易所风险控制管理办法修订案"/>
      <w:bookmarkEnd w:id="24"/>
      <w:r>
        <w:t xml:space="preserve">上海期货交易所印发《上海期货交易所套利交易管理办法》和《上海期货交易所风险控制管理办法（修订案）》</w:t>
      </w:r>
    </w:p>
    <w:p>
      <w:r>
        <w:t xml:space="preserve">2013年10月22日，上海期货交易所印发《上海期货交易所套利交易管理办法》（《办法》）和《上海期货交易所风险控制管理办法（修订案）》（《修订案》），自2013年12月2日起施行。</w:t>
      </w:r>
    </w:p>
    <w:p>
      <w:r>
        <w:t xml:space="preserve">《办法》引入了非套期保值的概念，将套利交易和投机交易合并归为非套期保值交易，与套期保值交易相对应。《办法》规定，非套期保值交易头寸按照各期货合约在不同时期的限仓比例和持仓限额规定执行，非期货公司会员或者客户可以通过申请套利交易头寸来扩大其非套期保值交易头寸。此外，《办法》还对套利交易头寸的申请、审批和使用进行了规定。</w:t>
      </w:r>
    </w:p>
    <w:p>
      <w:r>
        <w:t xml:space="preserve">《修订案》对《上海期货交易所风险控制管理办法》（《管理办法》）第四十八条进行了修订，修订为：除交易所另有规定外，《管理办法》中涉及投机交易风险管理的规则，同等适用于非套期保值交易。</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海期货交易所印发上海期货交易所结算细则修订案"/>
      <w:bookmarkEnd w:id="27"/>
      <w:r>
        <w:t xml:space="preserve">上海期货交易所印发《上海期货交易所结算细则（修订案）》</w:t>
      </w:r>
    </w:p>
    <w:p>
      <w:r>
        <w:t xml:space="preserve">为适应市场发展新形势，促进期货市场功能发挥，配合交易所保证金制度创新，2013年10月22日，上海期货交易所印发《上海期货交易所结算细则（修订案）》，自2013年12月30日 （含该交易日连续交易时间，即12月27日21:00至12月28日02:30）起施行。</w:t>
      </w:r>
    </w:p>
    <w:p>
      <w:r>
        <w:t xml:space="preserve">根据修订案，交易所按买入和卖出的持仓量分别收取交易保证金,在下列情况下，交易所可以单边收取交易保证金：（一）同一客户在同一会员处的同品种双向持仓（合约进入最后交易日前第五个交易日收盘后除外）；（二）非期货公司会员在交易所同品种双向持仓（合约进入最后交易日前第五个交易日收盘后除外）； （三）交易所认为必要的其他情况。</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新双边合作联合委员会第十次会议举行"/>
      <w:bookmarkEnd w:id="30"/>
      <w:r>
        <w:t xml:space="preserve">中新双边合作联合委员会第十次会议举行</w:t>
      </w:r>
    </w:p>
    <w:p>
      <w:r>
        <w:t xml:space="preserve">2013年10月22日，中新双边合作联合委员会第十次会议在新加坡举行。国务院副总理张高丽和新加坡副总理兼内政部长张志贤主持会议。人民银行副行长胡晓炼出席会议。</w:t>
      </w:r>
    </w:p>
    <w:p>
      <w:r>
        <w:t xml:space="preserve">中新双方就加强双边金融合作达成了以下成果：一是中方将人民币合格境外机构投资者试点范围拓展到新加坡，投资额度500亿元人民币；在条件成熟时，将试点开展人民币合格境内机构投资者投资新加坡市场。二是在两国银行间外汇市场推出人民币对新加坡元直接交易。三是中方支持苏州工业园和天津生态城开展与新加坡之间的跨境人民币创新业务。四是双方将进一步深化银行业合作，加强监管合作与交流，加深对国际金融监管改革等共同关心问题的认识，深化在国际金融监管规则制定方面的协调与配合。五是双方将加强在期货及衍生产品市场发展和监管方面的交流与合作，支持两国交易所加强交流合作，双方将建立工作机制，推动中国企业在新加坡直接上市。</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证监会将核查百度百发理财计划合规性"/>
      <w:bookmarkEnd w:id="33"/>
      <w:r>
        <w:t xml:space="preserve">证监会：将核查百度百发理财计划合规性</w:t>
      </w:r>
    </w:p>
    <w:p>
      <w:r>
        <w:t xml:space="preserve">对百度百发保本保收益理财计划事宜，证监会10月23日在其官方微博表示，媒体报道所称百度联合华夏基金推出的理财计划目标年化收益率8%，不符合相关法律法规的要求。证监会注意到百度已就相关报道予以澄清，下一步将根据百度及相关机构报送的书面材料，对该业务合规性予以核查。</w:t>
      </w:r>
    </w:p>
    <w:p>
      <w:r>
        <w:t xml:space="preserve">证监会表示，当前，我国已基本建立了较为完善的基金监管法律法规体系。《基金法》规定，公开披露基金信息不得有预测投资业绩、违规承诺收益或者承担损失等行为；《证券投资基金销售管理办法》规定，基金销售机构不得采取抽奖、回扣或者送实物、保险、基金份额等方式销售基金。互联网基金销售业务也应遵守相关规定。</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首只同时投资内地和香港股市跨境etf挂牌"/>
      <w:bookmarkEnd w:id="36"/>
      <w:r>
        <w:t xml:space="preserve">首只同时投资内地和香港股市跨境ETF挂牌</w:t>
      </w:r>
    </w:p>
    <w:p>
      <w:r>
        <w:t xml:space="preserve">10月21日，首只同时投资内地和香港股市的跨境跨市场ETF将在香港交易所挂牌。21日挂牌的易方达中华交易服务中国120指数ETF（易方达120ETF），由易方达基金独创研发。作为一只跨境实物ETF及RQFII基金，易方达120ETF以中华交易服务中国120指数（中华120指数）为跟踪标的。这一指数由80家流动性最高、市值最大的沪深交易所上市A股，以及40家流动性最高、市值最大的香港上市内地企业股票构成，能够同时追踪A股、H股、红筹及民企股票。</w:t>
      </w:r>
    </w:p>
    <w:p>
      <w:r>
        <w:t xml:space="preserve">借道这一创新产品，内地投资者可实现对众多优质香港上市内地公司的间接投资，包括腾讯、中国移动、长城汽车、恒大地产、百丽国际等，同时也为香港投资者投资内地优质上市公司提供了全新的渠道。</w:t>
      </w:r>
    </w:p>
    <w:p>
      <w:r>
        <w:t xml:space="preserve">易方达120ETF的出现，不单解决了跨A股及港股市场交收制度不同的难题，还涵盖人民币及港币结算，从而为投资者解决了换汇问题。</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行业"/>
      <w:bookmarkEnd w:id="39"/>
      <w:r>
        <w:t xml:space="preserve">行业</w:t>
      </w:r>
    </w:p>
    <w:p>
      <w:pPr>
        <w:pStyle w:val="Heading3"/>
      </w:pPr>
      <w:bookmarkStart w:id="40" w:name="四部门联合印发重点工业行业用水效率指南"/>
      <w:bookmarkEnd w:id="40"/>
      <w:r>
        <w:t xml:space="preserve">四部门联合印发《重点工业行业用水效率指南》</w:t>
      </w:r>
    </w:p>
    <w:p>
      <w:r>
        <w:t xml:space="preserve">为落实国务院最严格水资源管理制度，提高工业用水效率，10月22日，工业和信息化部、水利部、国家统计局、全国节约用水办公室联合印发《重点工业行业用水效率指南》（《指南》）。</w:t>
      </w:r>
    </w:p>
    <w:p>
      <w:r>
        <w:t xml:space="preserve">《指南》在总结分析我国重点工业行业用水效率总体情况的基础上，梳理火电、钢铁、纺织、造纸、石化和化工、食品和发酵等高用水行业共40 多种主要工业产品（工序）的用水现状。</w:t>
      </w:r>
    </w:p>
    <w:p>
      <w:r>
        <w:t xml:space="preserve">《指南》依据国家相关标准，结合行业现状，选取单位产品取水量先进值、平均值、限定值和准入值，作为衡量和评价工业企业用水效率水平、指导工业企业开展节水对标达标的核心指标，并提出了提升工业行业用水效率的技术措施。</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工信部四方面鼓励和扶持互联网发展"/>
      <w:bookmarkEnd w:id="43"/>
      <w:r>
        <w:t xml:space="preserve">工信部：四方面鼓励和扶持互联网发展</w:t>
      </w:r>
    </w:p>
    <w:p>
      <w:r>
        <w:t xml:space="preserve">国新办10月24日上午就2013年前三季度工业通信业发展情况举行发布会。</w:t>
      </w:r>
    </w:p>
    <w:p>
      <w:r>
        <w:t xml:space="preserve">通信发展司副司长祝军表示，工信部决定在原有的京、沪、穗外再增加骨干网的直联点，是提高互联网效率，优化互联网产业布局，推动区域经济的协调发展，拉动信息消费，实施“宽带中国”战略的一项重要举措。这项工作从7月份启动，得到了各地党委、政府的大力支持，目前已经明确在成都、武汉、西安、沈阳、南京、重庆和郑州七个城市增设国家级的互联网骨干直联点。</w:t>
      </w:r>
    </w:p>
    <w:p>
      <w:r>
        <w:t xml:space="preserve">最近，工信部除增设七个国家级骨干直联点之外，还推出了一系列鼓励和扶持互联网发展的政策。</w:t>
      </w:r>
    </w:p>
    <w:p>
      <w:r>
        <w:t xml:space="preserve">一、是下调了互联网交换中心的结算价格。今年年初，将原来的每G带宽每月100万元结算价下调到60万元，并且明确了未来五年内我部将以每年30%的幅度逐年下调，不断为互联网发展营造更好的政策环境。</w:t>
      </w:r>
    </w:p>
    <w:p>
      <w:r>
        <w:t xml:space="preserve">二、是明确了未来一段时间“西增东扩，全方位、立体化”互联网架构优化总体方案，以及“先易后难，逐步深入、以点代面、全面突破”破解互联网互联的难题，为下一步网间互联发展指明了方向。</w:t>
      </w:r>
    </w:p>
    <w:p>
      <w:r>
        <w:t xml:space="preserve">三、是建立了互联单位结算关系的争议解决长效机制，采用数学模型明确了各互联单位相互结算关系，成功化解了积累多年的互联结算的争议，为互联网带宽扩容奠定了基础。</w:t>
      </w:r>
    </w:p>
    <w:p>
      <w:r>
        <w:t xml:space="preserve">四、是强力推进了网间互联带宽扩容。去年扩容313G，今年又增加了508G，使得互联网互联带宽总数达到1492G，网间通信质量得到明显改善。这七个直联点建成之后，互联带宽还会大幅增加，网间通信质量也会有更大的改善。</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房地产"/>
      <w:bookmarkEnd w:id="46"/>
      <w:r>
        <w:t xml:space="preserve">房地产</w:t>
      </w:r>
    </w:p>
    <w:p>
      <w:pPr>
        <w:pStyle w:val="Heading3"/>
      </w:pPr>
      <w:bookmarkStart w:id="47" w:name="京七条出台-北京楼市调控升级"/>
      <w:bookmarkEnd w:id="47"/>
      <w:r>
        <w:t xml:space="preserve">京七条出台 北京楼市调控升级</w:t>
      </w:r>
    </w:p>
    <w:p>
      <w:r>
        <w:t xml:space="preserve">北京楼市调控全面升级。北京市住建委副主任王荣武10月23日表示，北京将采取七条措施（简称“京七条”），完善现有调控政策执行机制，坚决稳定房价。其中，加快中低价位自住型改善型商品住房建设是“京七条”的重中之重。</w:t>
      </w:r>
    </w:p>
    <w:p>
      <w:r>
        <w:t xml:space="preserve">与“京七条”一同出台的《关于加快中低价位自住型改善型商品住房建设的意见》明确，北京市今后将加快发展自住型商品住房，采取“限房价、竞地价”等方式供地，套型建筑面积以90平方米以下为主，销售均价比同地段、同品质商品住房低30%左右，年底前完成2万套供应，明年预计完成5万套，将占新增供应的50%以上。</w:t>
      </w:r>
    </w:p>
    <w:p>
      <w:r>
        <w:t xml:space="preserve">对于购买资格，《意见》规定，符合限购政策具有购房资格的家庭均可购买，其中两类家庭可优先购买：一是本市户籍无房家庭，其中单身人士须年满25周岁；二是已在轮候经济适用住房、限价商品住房的家庭。同时，购房家庭只能购买一套，并且在取得房产证后5年内不得转让；5年以后转让的，需交纳30%增值收益。</w:t>
      </w:r>
    </w:p>
    <w:p>
      <w:r>
        <w:t xml:space="preserve">此外，“京七条”还要求，加强限购政策社会监督，组建限购监督委员会，严厉打击骗购行为，造假者5年内不得再次购房；进一步严格差别化住房信贷政策的执行，严禁向不符合信贷政策的借款人违规发放贷款；严格资金监管，加强审查和税收稽查；强化价格引导，严查变相涨价项目；加强市场监管，部门联动，严厉打击各种违法违规行为；加强市场信息公开，提高市场信息透明度，防止误导误读。</w:t>
      </w:r>
    </w:p>
    <w:p>
      <w:r>
        <w:t xml:space="preserve">“京七条”强调，对房价过高、上涨过快、利润率过大的项目，将启动全额监管，重点审查地价款来源和开发成本，并加强税收征管和稽查，截断企业高价买地高价卖房的利益驱动。对存在闲置土地、炒地、捂盘惜售、哄抬房价、变相涨价等违法违规行为的房地产开发企业，采取禁止其参加土地竞买、不对其发放新开发项目贷款、强化土地增值税征收管理等措施。对于项目定价高涨幅大且不接受政府引导的项目，将暂缓上市。</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税收"/>
      <w:bookmarkEnd w:id="50"/>
      <w:r>
        <w:t xml:space="preserve">税收</w:t>
      </w:r>
    </w:p>
    <w:p>
      <w:pPr>
        <w:pStyle w:val="Heading3"/>
      </w:pPr>
      <w:bookmarkStart w:id="51" w:name="财政部发布上海自贸区进口税收政策"/>
      <w:bookmarkEnd w:id="51"/>
      <w:r>
        <w:t xml:space="preserve">财政部发布上海自贸区进口税收政策</w:t>
      </w:r>
    </w:p>
    <w:p>
      <w:r>
        <w:t xml:space="preserve">继证监会、保监会、银监会宣布对自贸区的政策后，财政部、海关总署、国家税务总局10月24日也联合发布《关于中国（上海）自由贸易试验区有关进口税收政策的通知》。</w:t>
      </w:r>
    </w:p>
    <w:p>
      <w:r>
        <w:t xml:space="preserve">在通知4项内容中，对融资租赁类的公司影响最大。通知明确，对试验区内注册的国内租赁公司或其设立的项目子公司，经国家有关部门批准从境外购买空载重量在25吨以上并租赁给国内航空公司使用的飞机，享受《财政部 国家税务总局关于调整进口飞机有关增值税政策的通知》和《海关总署关于调整进口飞机进口环节增值税有关问题的通知》规定的增值税优惠政策。</w:t>
      </w:r>
    </w:p>
    <w:p>
      <w:r>
        <w:t xml:space="preserve">其次，通知还明确对设在试验区内的企业生产、加工并经“二线”销往内地的货物照章征收进口环节增值税、消费税。根据企业申请，试行对该内销货物按其对应进口料件或按实际报验状态征收关税的政策。</w:t>
      </w:r>
    </w:p>
    <w:p>
      <w:r>
        <w:t xml:space="preserve">此外，通知明确对试验区内生产企业和生产性服务业企业进口所需的机器、设备等货物予以免税。</w:t>
      </w:r>
    </w:p>
    <w:p>
      <w:r>
        <w:t xml:space="preserve">最后，在严格执行货物进口税收政策的前提下，允许在特定区域设立保税展示交易平台。</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财政部对个人销售自建自用住房免征营业税"/>
      <w:bookmarkEnd w:id="54"/>
      <w:r>
        <w:t xml:space="preserve">财政部：对个人销售自建自用住房免征营业税</w:t>
      </w:r>
    </w:p>
    <w:p>
      <w:r>
        <w:t xml:space="preserve">财政部网站10月22日发布多种营业税若干政策问题通知，通知对多种情况免征营业税，包括对个人销售自建自用住房、企业、行政事业单位按房改成本价、标准价出售住房的收入等。</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并购"/>
      <w:bookmarkEnd w:id="57"/>
      <w:r>
        <w:t xml:space="preserve">并购</w:t>
      </w:r>
    </w:p>
    <w:p>
      <w:pPr>
        <w:pStyle w:val="Heading3"/>
      </w:pPr>
      <w:bookmarkStart w:id="58" w:name="汉森制药2.8亿收购永孜堂"/>
      <w:bookmarkEnd w:id="58"/>
      <w:r>
        <w:t xml:space="preserve">汉森制药2.8亿收购永孜堂</w:t>
      </w:r>
    </w:p>
    <w:p>
      <w:r>
        <w:t xml:space="preserve">汉森制药10月25日公告，拟使用2.8亿元现金收购云南永孜堂制药有限公司80%股权。</w:t>
      </w:r>
    </w:p>
    <w:p>
      <w:r>
        <w:t xml:space="preserve">永孜堂是一家成立于2003年的地处中国天麻原产地域保护所在地云南昭通的制药企业。现有7个全国独家品种，5个产品具有国家发明专利。永孜堂最主要产品为天麻醒脑胶囊，该产品每年实现的销售收入占永孜堂制药总销售收入的50%左右。</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2"/>
      </w:pPr>
      <w:bookmarkStart w:id="61" w:name="知识产权"/>
      <w:bookmarkEnd w:id="61"/>
      <w:r>
        <w:t xml:space="preserve">知识产权</w:t>
      </w:r>
    </w:p>
    <w:p>
      <w:pPr>
        <w:pStyle w:val="Heading3"/>
      </w:pPr>
      <w:bookmarkStart w:id="62" w:name="客厅网络盒战争硝烟再起-同洲电子起诉小米侵权"/>
      <w:bookmarkEnd w:id="62"/>
      <w:r>
        <w:t xml:space="preserve">客厅网络盒战争硝烟再起 同洲电子起诉小米侵权</w:t>
      </w:r>
    </w:p>
    <w:p>
      <w:r>
        <w:t xml:space="preserve">随着各路资本的大举进入，智能电视概念持续升温，作为新的互联网入口，客厅争夺战已经打响，互联网机顶盒行业也正在陷入“盒战争”的硝烟弥漫之中。</w:t>
      </w:r>
    </w:p>
    <w:p>
      <w:r>
        <w:t xml:space="preserve">近日，同洲电子在其官方微博“同洲飞看”的账号上接连爆出小米盒子“山寨”其专利技术，该公司称已将小米起诉至深圳市中级人民法院，该案已经获得受理。</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5">
        <w:r>
          <w:rPr>
            <w:rStyle w:val="Link"/>
          </w:rPr>
          <w:t xml:space="preserve">unsubscribe@charltonslaw.com</w:t>
        </w:r>
      </w:hyperlink>
    </w:p>
    <w:p>
      <w:r>
        <w:rPr>
          <w:b/>
        </w:rPr>
        <w:t xml:space="preserve">易周律师行 - 法讯 - 中国 - 第379期 - 2013年10月28日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953b4e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48" Target="http://epaper.stcn.com/paper/zqsb/html/epaper/index/content_512712.htm" TargetMode="External" /><Relationship Type="http://schemas.openxmlformats.org/officeDocument/2006/relationships/hyperlink" Id="rId59" Target="http://epaper.stcn.com/paper/zqsb/html/epaper/index/content_513968.htm" TargetMode="External" /><Relationship Type="http://schemas.openxmlformats.org/officeDocument/2006/relationships/hyperlink" Id="rId63" Target="http://finance.sina.com.cn/stock/s/20131024/040717092948.shtml" TargetMode="External" /><Relationship Type="http://schemas.openxmlformats.org/officeDocument/2006/relationships/hyperlink" Id="rId52" Target="http://gss.mof.gov.cn/zhengwuxinxi/zhengcefabu/201310/t20131024_1002727.html" TargetMode="External" /><Relationship Type="http://schemas.openxmlformats.org/officeDocument/2006/relationships/hyperlink" Id="rId44" Target="http://kuaixun.stcn.com/2013/1024/10841657.shtml" TargetMode="External" /><Relationship Type="http://schemas.openxmlformats.org/officeDocument/2006/relationships/hyperlink" Id="rId55" Target="http://szs.mof.gov.cn/zhengwuxinxi/zhengcefabu/201310/t20131021_1001434.html" TargetMode="External" /><Relationship Type="http://schemas.openxmlformats.org/officeDocument/2006/relationships/hyperlink" Id="rId21" Target="http://www.charltonslaw.com.cn/china-news-alerts-cn-issue-379/" TargetMode="External" /><Relationship Type="http://schemas.openxmlformats.org/officeDocument/2006/relationships/hyperlink" Id="rId37" Target="http://www.cs.com.cn/xwzx/zq/201310/t20131021_4175757.html" TargetMode="External" /><Relationship Type="http://schemas.openxmlformats.org/officeDocument/2006/relationships/hyperlink" Id="rId34" Target="http://www.cs.com.cn/xwzx/zq/201310/t20131024_4180258.html" TargetMode="External" /><Relationship Type="http://schemas.openxmlformats.org/officeDocument/2006/relationships/hyperlink" Id="rId41" Target="http://www.miit.gov.cn/n11293472/n11293832/n12843926/n13917012/15668901.html" TargetMode="External" /><Relationship Type="http://schemas.openxmlformats.org/officeDocument/2006/relationships/hyperlink" Id="rId31" Target="http://www.pbc.gov.cn/publish/goutongjiaoliu/524/2013/20131022162129962924238/20131022162129962924238_.html" TargetMode="External" /><Relationship Type="http://schemas.openxmlformats.org/officeDocument/2006/relationships/hyperlink" Id="rId25" Target="http://www.shfe.com.cn/docview/docview_39222173.htm" TargetMode="External" /><Relationship Type="http://schemas.openxmlformats.org/officeDocument/2006/relationships/hyperlink" Id="rId28" Target="http://www.shfe.com.cn/docview/docview_39228629.htm" TargetMode="External" /><Relationship Type="http://schemas.openxmlformats.org/officeDocument/2006/relationships/hyperlink" Id="rId6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48" Target="http://epaper.stcn.com/paper/zqsb/html/epaper/index/content_512712.htm" TargetMode="External" /><Relationship Type="http://schemas.openxmlformats.org/officeDocument/2006/relationships/hyperlink" Id="rId59" Target="http://epaper.stcn.com/paper/zqsb/html/epaper/index/content_513968.htm" TargetMode="External" /><Relationship Type="http://schemas.openxmlformats.org/officeDocument/2006/relationships/hyperlink" Id="rId63" Target="http://finance.sina.com.cn/stock/s/20131024/040717092948.shtml" TargetMode="External" /><Relationship Type="http://schemas.openxmlformats.org/officeDocument/2006/relationships/hyperlink" Id="rId52" Target="http://gss.mof.gov.cn/zhengwuxinxi/zhengcefabu/201310/t20131024_1002727.html" TargetMode="External" /><Relationship Type="http://schemas.openxmlformats.org/officeDocument/2006/relationships/hyperlink" Id="rId44" Target="http://kuaixun.stcn.com/2013/1024/10841657.shtml" TargetMode="External" /><Relationship Type="http://schemas.openxmlformats.org/officeDocument/2006/relationships/hyperlink" Id="rId55" Target="http://szs.mof.gov.cn/zhengwuxinxi/zhengcefabu/201310/t20131021_1001434.html" TargetMode="External" /><Relationship Type="http://schemas.openxmlformats.org/officeDocument/2006/relationships/hyperlink" Id="rId21" Target="http://www.charltonslaw.com.cn/china-news-alerts-cn-issue-379/" TargetMode="External" /><Relationship Type="http://schemas.openxmlformats.org/officeDocument/2006/relationships/hyperlink" Id="rId37" Target="http://www.cs.com.cn/xwzx/zq/201310/t20131021_4175757.html" TargetMode="External" /><Relationship Type="http://schemas.openxmlformats.org/officeDocument/2006/relationships/hyperlink" Id="rId34" Target="http://www.cs.com.cn/xwzx/zq/201310/t20131024_4180258.html" TargetMode="External" /><Relationship Type="http://schemas.openxmlformats.org/officeDocument/2006/relationships/hyperlink" Id="rId41" Target="http://www.miit.gov.cn/n11293472/n11293832/n12843926/n13917012/15668901.html" TargetMode="External" /><Relationship Type="http://schemas.openxmlformats.org/officeDocument/2006/relationships/hyperlink" Id="rId31" Target="http://www.pbc.gov.cn/publish/goutongjiaoliu/524/2013/20131022162129962924238/20131022162129962924238_.html" TargetMode="External" /><Relationship Type="http://schemas.openxmlformats.org/officeDocument/2006/relationships/hyperlink" Id="rId25" Target="http://www.shfe.com.cn/docview/docview_39222173.htm" TargetMode="External" /><Relationship Type="http://schemas.openxmlformats.org/officeDocument/2006/relationships/hyperlink" Id="rId28" Target="http://www.shfe.com.cn/docview/docview_39228629.htm" TargetMode="External" /><Relationship Type="http://schemas.openxmlformats.org/officeDocument/2006/relationships/hyperlink" Id="rId6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第379期 - 2013年10月28日</dc:title>
  <dc:creator/>
</cp:coreProperties>
</file>