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第380期</w:t>
      </w:r>
      <w:r>
        <w:t xml:space="preserve"> </w:t>
      </w:r>
      <w:r>
        <w:t xml:space="preserve">-</w:t>
      </w:r>
      <w:r>
        <w:t xml:space="preserve"> </w:t>
      </w:r>
      <w:r>
        <w:t xml:space="preserve">2013年11月01日</w:t>
      </w:r>
    </w:p>
    <w:p>
      <w:hyperlink r:id="rId21">
        <w:r>
          <w:rPr>
            <w:rStyle w:val="Link"/>
          </w:rPr>
          <w:t xml:space="preserve">网络版</w:t>
        </w:r>
      </w:hyperlink>
    </w:p>
    <w:p>
      <w:pPr>
        <w:pStyle w:val="Heading1"/>
      </w:pPr>
      <w:bookmarkStart w:id="22" w:name="法讯中国第380期"/>
      <w:bookmarkEnd w:id="22"/>
      <w:r>
        <w:t xml:space="preserve">法讯中国第380期</w:t>
      </w:r>
    </w:p>
    <w:p>
      <w:pPr>
        <w:pStyle w:val="Heading2"/>
      </w:pPr>
      <w:bookmarkStart w:id="23" w:name="资本市场"/>
      <w:bookmarkEnd w:id="23"/>
      <w:r>
        <w:t xml:space="preserve">资本市场</w:t>
      </w:r>
    </w:p>
    <w:p>
      <w:pPr>
        <w:pStyle w:val="Heading3"/>
      </w:pPr>
      <w:bookmarkStart w:id="24" w:name="国务院取消公司最低注册资本限制"/>
      <w:bookmarkEnd w:id="24"/>
      <w:r>
        <w:t xml:space="preserve">国务院：取消公司最低注册资本限制</w:t>
      </w:r>
    </w:p>
    <w:p>
      <w:r>
        <w:t xml:space="preserve">国务院总理李克强10月25日主持召开国务院常务会议，部署推进公司注册资本登记制度改革，降低创业成本，激发社会投资活力。</w:t>
      </w:r>
    </w:p>
    <w:p>
      <w:r>
        <w:t xml:space="preserve">会议强调，推行注册资本登记制度改革，就是要按照便捷高效、规范统一、宽进严管的原则，创新公司登记制度，降低准入门槛，强化市场主体责任，促进形成诚信、公平、有序的市场秩序。会议明确了改革的主要内容：一是放宽注册资本登记条件。除法律、法规另有规定外，取消有限责任公司最低注册资本3万元、一人有限责任公司最低注册资本10万元、股份有限公司最低注册资本500万元的限制；不再限制公司设立时股东（发起人）的首次出资比例和缴足出资的期限。公司实收资本不再作为工商登记事项。二是将企业年检制度改为年度报告制度，任何单位和个人均可查询，使企业相关信息透明化。建立公平规范的抽查制度，克服检查的随意性，提高政府管理的公平性和效能。三是按照方便注册和规范有序的原则，放宽市场主体住所（经营场所）登记条件，由地方政府具体规定。四是大力推进企业诚信制度建设。注重运用信息公示和共享等手段，将企业登记备案、年度报告、资质资格等通过市场主体信用信息系统予以公示。推行电子营业执照和全程电子化登记管理，与纸质营业执照具有同等法律效力。完善信用约束机制，将有违规行为的市场主体列入经营异常的“黑名录”，向社会公布，使其“一处违规、处处受限”，提高企业“失信成本”。五是推进注册资本由实缴登记制改为认缴登记制，降低开办公司成本。在抓紧完善相关法律法规的基础上，实行由公司股东（发起人）自主约定认缴出资额、出资方式、出资期限等，并对缴纳出资情况真实性、合法性负责的制度。</w:t>
      </w:r>
    </w:p>
    <w:p>
      <w:r>
        <w:t xml:space="preserve">会议强调，改革注册资本登记制度涉及面广、政策性强，要抓紧依照法定程序推进相关法律法规的修订工作。</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期所修订异常交易行为处理标准"/>
      <w:bookmarkEnd w:id="27"/>
      <w:r>
        <w:t xml:space="preserve">上期所修订异常交易行为处理标准</w:t>
      </w:r>
    </w:p>
    <w:p>
      <w:r>
        <w:t xml:space="preserve">为配合《上海期货交易所套利交易管理办法》的实施，10月30日，上期所发布《〈上海期货交易所异常交易监控暂行规定〉有关处理标准及处理程序》修订案（以下简称“修订案”），对异常交易行为处理标准再次进行修订，同时还发布了非套期保值持仓限仓方案。</w:t>
      </w:r>
    </w:p>
    <w:p>
      <w:r>
        <w:t xml:space="preserve">修订案对异常交易行为处理标准进行了两处修改，一是补充了因套利交易产生的自成交、频繁报撤单、大额报撤单不作为异常交易行为的表述；二是明确了在统计异常交易行为次数时，FOK和FAK交易指令形成的自成交和撤单不计入在内。</w:t>
      </w:r>
    </w:p>
    <w:p>
      <w:r>
        <w:t xml:space="preserve">非套期保值持仓限仓方案主要包括限仓原则、临近交割月的处理、实际控制关系账户的限仓方法、合并持仓超限监管四个方面。原则上，非期货公司会员或者客户的非套保持仓不得超过该期货合约在不同时期的限仓比例（或者持仓限额）规定加上该时期对应的套利交易头寸之总和。该方案自12月2日起施行。</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德意志银行获准开展银行间债券市场债券结算代理业务"/>
      <w:bookmarkEnd w:id="30"/>
      <w:r>
        <w:t xml:space="preserve">德意志银行获准开展银行间债券市场债券结算代理业务</w:t>
      </w:r>
    </w:p>
    <w:p>
      <w:r>
        <w:t xml:space="preserve">德意志银行(中国)有限公司10月29日宣布已经获得中国人民银行批准，开展银行间债券市场债券结算代理业务，为在中国境内参与债券交易的公司和金融机构提供全方位债券服务，包括债券交易和结算业务。</w:t>
      </w:r>
    </w:p>
    <w:p>
      <w:r>
        <w:t xml:space="preserve">获得该资格以后，在为交易所交易服务的同时, 德意志银行也可以为银行间债券交易提供在岸结算及托管服务，服务对象将扩大至包括人民币贸易结算银行、保险公司、合格境外机构投资者和人民币合格境外机构投资者在内的更广大的客户群。服务内容及客户群体的扩充将助力德意志银行人民币业务的发展。</w:t>
      </w:r>
    </w:p>
    <w:p>
      <w:r>
        <w:t xml:space="preserve">德意志银行大中华区环球金融交易部总经理魏凯(Carl Wegner)表示:“我们很高兴成为具备银行间债券结算代理业务资格的三家外资银行之一。通过德意志银行的一站式服务，客户的所有债券交易及托管需求都能得到满足，从而提高效率、降低成本。与此同时，债券代理资格帮助我们将服务对象大规模拓展至新的领域，德意志银行在国内市场将更加活跃。”</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并购"/>
      <w:bookmarkEnd w:id="33"/>
      <w:r>
        <w:t xml:space="preserve">并购</w:t>
      </w:r>
    </w:p>
    <w:p>
      <w:pPr>
        <w:pStyle w:val="Heading3"/>
      </w:pPr>
      <w:bookmarkStart w:id="34" w:name="嘉应制药收购获核准-4亿拿下金沙药业"/>
      <w:bookmarkEnd w:id="34"/>
      <w:r>
        <w:t xml:space="preserve">嘉应制药收购获核准 4亿拿下金沙药业</w:t>
      </w:r>
    </w:p>
    <w:p>
      <w:r>
        <w:t xml:space="preserve">嘉应制药收购金沙药业的重组方案最终顺利收场。近日，嘉应制药发布公告称，经证监会核准，公司向特定对象非公开发行股份购买金沙药业64.47%股权。交易完成后，嘉应制药将全资控股金沙药业。</w:t>
      </w:r>
    </w:p>
    <w:p>
      <w:r>
        <w:t xml:space="preserve">由于主打产品竞争激烈，嘉应制药上市以来主营业务贡献利润有限。而五年前“偶然”投资的金沙药业却表现惊艳，自2009年以来为嘉应制药贡献了巨大利润。今年2月，嘉应制药提出拟收购金沙药业剩余股份。</w:t>
      </w:r>
    </w:p>
    <w:p>
      <w:r>
        <w:t xml:space="preserve">而今，虽然重组因“有关方面涉嫌违法稽查立案”一度被证监会叫停，但嘉应制药最终成功上演资本市场的“蛇吞象”，以4.05亿元将金沙药业收入麾下。</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嘉士伯29亿收购获批"/>
      <w:bookmarkEnd w:id="37"/>
      <w:r>
        <w:t xml:space="preserve">嘉士伯29亿收购获批</w:t>
      </w:r>
    </w:p>
    <w:p>
      <w:r>
        <w:t xml:space="preserve">停牌一天后，重庆啤酒11月1日发布公告，嘉士伯要约收购重庆啤酒一事终于尘埃落定。嘉士伯以每股20元的价格，斥资29.13亿元收购重庆啤酒1.46亿股股权获得证监会无异议通过。通过这次要约收购，嘉士伯将控股重庆啤酒，公司股票今日复牌。</w:t>
      </w:r>
    </w:p>
    <w:p>
      <w:r>
        <w:t xml:space="preserve">资料显示，创建于1847年的嘉士伯是世界第四大酿酒集团，总部位于丹麦哥本哈根。近年来，嘉士伯一直扩大在华业务版图。而这次收购也是嘉士伯第三次增持重庆啤酒股份。</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食品药品监管总局发布关于加强互联网药品销售管理的通知"/>
      <w:bookmarkEnd w:id="41"/>
      <w:r>
        <w:t xml:space="preserve">食品药品监管总局发布《关于加强互联网药品销售管理的通知》</w:t>
      </w:r>
    </w:p>
    <w:p>
      <w:r>
        <w:t xml:space="preserve">为规范互联网售药行为，落实《关于印发打击互联网非法售药行动工作方案的通知》的工作部署，2013年10月29日，国家食品药品监督管理总局发布《食品药品监管总局关于加强互联网药品销售管理的通知》（《通知》）。</w:t>
      </w:r>
    </w:p>
    <w:p>
      <w:r>
        <w:t xml:space="preserve">《通知》要求，加强药品交易网站资质的管理，药品生产企业、药品经营企业在自设网站进行药品互联网交易，或第三方企业为其提供药品互联网交易服务，必须申请取得《互联网药品交易服务资格证书》后方可开展业务；加强药品交易网站销售含麻黄碱类复方制剂的管理，药品零售企业销售含麻黄碱类复方制剂，必须查验和登记购买者合法有效的身份证件；加强药品交易网站销售处方药的管理，药品零售连锁企业通过药品交易网站只能销售非处方药，一律不得在网站交易相关页面展示和销售处方药；加强网售药品配送环节的管理；加大对互联网非法售药的查处力度。</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家海洋局发文规范海岛整治修复"/>
      <w:bookmarkEnd w:id="44"/>
      <w:r>
        <w:t xml:space="preserve">国家海洋局发文规范海岛整治修复</w:t>
      </w:r>
    </w:p>
    <w:p>
      <w:r>
        <w:t xml:space="preserve">国家海洋局29日宣布，已于近日下发《海岛整治修复项目管理暂行办法》，以进一步规范全国各地的海岛整治修复项目相关工作。十八大提出大力推进生态文明建设后，沿海各省市海岛整治修复加快。</w:t>
      </w:r>
    </w:p>
    <w:p>
      <w:r>
        <w:t xml:space="preserve">国家海洋局表示，《海岛整治修复项目管理暂行办法》、《海岛整治修复项目验收暂行办法》 这两个文件已制定并印发。同时，我国将建立国家级及省级海岛整治修复项目库，并优先支持纳入国家级海岛整治修复项目库中的项目。</w:t>
      </w:r>
    </w:p>
    <w:p>
      <w:r>
        <w:t xml:space="preserve">2013年1月，上海崇明岛以东的佘山岛整治修复工程通过国家验收，该项目作为全国第一个通过国家验收的海岛整治修复项目，标志着我国海岛整治修复的全面启动。</w:t>
      </w:r>
    </w:p>
    <w:p>
      <w:r>
        <w:t xml:space="preserve">目前，沿海各省多个海岛整治修复亿元以上的项目已获批展开。浙江普陀山岛、长峙岛等6个海岛整治修复项目项目总投资1.24亿元，获国家海域使用金支持8076万元。福建省也投资1.925亿元，对平潭、城洲岛、东山岛、连江洋屿、湄洲岛、惠屿岛6个海岛实施整治修复。山东省威海市刘公岛和荣成市镆铘岛综合整治修复工程项目，2个项目总投资达1.1亿元。另外，广东、辽宁、海南等省市多个投资上亿元的海岛整治项目，也已经上报国家海洋局审批。</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wto"/>
      <w:bookmarkEnd w:id="47"/>
      <w:r>
        <w:t xml:space="preserve">WTO</w:t>
      </w:r>
    </w:p>
    <w:p>
      <w:pPr>
        <w:pStyle w:val="Heading3"/>
      </w:pPr>
      <w:bookmarkStart w:id="48" w:name="美暂时中止对我输美硬木胶合板采取临时措施"/>
      <w:bookmarkEnd w:id="48"/>
      <w:r>
        <w:t xml:space="preserve">美暂时中止对我输美硬木胶合板采取临时措施</w:t>
      </w:r>
    </w:p>
    <w:p>
      <w:r>
        <w:t xml:space="preserve">美商务部10月28日发布通知，将自10月30日起中止对我硬木胶合板采取的临时措施，直至美国际贸易委员会发布终裁结果。美国际贸易委员会计划于11月25日结束调查，并预计在12月1日或2日公开发布结果。根据这一决定，中国输美的硬木胶合板自10月30日起至美国际贸易委员会公布终裁结果前不会被征收反倾销或反补贴税。</w:t>
      </w:r>
    </w:p>
    <w:p>
      <w:r>
        <w:t xml:space="preserve">今年4月29日，美商务部公布对我硬木胶合板反倾销的初裁结果，并开始采取临时措施。根据世贸组织的规定，临时措施的实施应限制在尽可能短的时间内，最多不得超过6个月。</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中方对欧盟紧固件反倾销措施案在世贸组织提起执行之诉"/>
      <w:bookmarkEnd w:id="51"/>
      <w:r>
        <w:t xml:space="preserve">中方对欧盟紧固件反倾销措施案在世贸组织提起执行之诉</w:t>
      </w:r>
    </w:p>
    <w:p>
      <w:r>
        <w:t xml:space="preserve">10月30日，中国就欧盟对中国部分紧固件产品最终反倾销措施案的执行措施，提出与欧盟在世贸组织争端解决机制下进行磋商，正式启动世贸争端案件的执行专家组程序。</w:t>
      </w:r>
    </w:p>
    <w:p>
      <w:r>
        <w:t xml:space="preserve">商务部新闻发言人沈丹阳就此发表谈话表示，欧盟对华钢铁紧固件反倾销措施案已经过世贸专家组和上诉机构审议，裁决欧盟的反倾销法中关于单独待遇的规定以及欧盟对中国部分紧固件最终反倾销措施违反世贸规则。欧盟虽然已在2012年修改了相关立法并对中国部分紧固件产品的反倾销措施进行了复审，但中方认为，欧盟复审中拒绝披露相关信息，未能对正常价值和出口价格的公平比较，拒绝就影响价格可比性的差异进行相应调整，从而在复审后仍然对我输欧紧固件产品征收高额反倾销税，严重影响中国紧固件产品的出口，损害了中国相关产业所应当享有的正当权益。</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其他"/>
      <w:bookmarkEnd w:id="54"/>
      <w:r>
        <w:t xml:space="preserve">其他</w:t>
      </w:r>
    </w:p>
    <w:p>
      <w:pPr>
        <w:pStyle w:val="Heading3"/>
      </w:pPr>
      <w:bookmarkStart w:id="55" w:name="商务部前三季内地与港澳贸易额增长近三成"/>
      <w:bookmarkEnd w:id="55"/>
      <w:r>
        <w:t xml:space="preserve">商务部:前三季内地与港澳贸易额增长近三成</w:t>
      </w:r>
    </w:p>
    <w:p>
      <w:r>
        <w:t xml:space="preserve">商务部30日公布的内地与港澳最新的经贸交流概况显示，今年前三季度，内地与香港贸易额为2973.9亿美元，同比上升25.6%；内地与澳门贸易额26.5亿美元，同比上升29.6%。</w:t>
      </w:r>
    </w:p>
    <w:p>
      <w:r>
        <w:t xml:space="preserve">其中，内地对香港出口2847.9亿美元，同比上升27.1%；自香港进口126亿美元，同比下降0.6%。香港是内地第四大贸易伙伴和最主要出口市场。</w:t>
      </w:r>
    </w:p>
    <w:p>
      <w:r>
        <w:t xml:space="preserve">吸收港资方面，9月内地批准港商投资项目995个，环比上升3.1%，实际使用港资金额59亿美元，环比上升12.1%。</w:t>
      </w:r>
    </w:p>
    <w:p>
      <w:r>
        <w:t xml:space="preserve">截至2013年9月底，内地累计批准港资项目357340个，实际使用港资6461.9亿美元。按实际使用外资统计，港资占内地累计吸收境外投资总额的47.3%。</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最高人民法院发布关于切实践行司法为民大力加强公正司法不断提高司法公信力的若干意见"/>
      <w:bookmarkEnd w:id="58"/>
      <w:r>
        <w:t xml:space="preserve">最高人民法院发布《关于切实践行司法为民大力加强公正司法不断提高司法公信力的若干意见》</w:t>
      </w:r>
    </w:p>
    <w:p>
      <w:r>
        <w:t xml:space="preserve">10月29日，最高人民法院发布《最高人民法院关于切实践行司法为民大力加强公正司法不断提高司法公信力的若干意见》（《意见》）。</w:t>
      </w:r>
    </w:p>
    <w:p>
      <w:r>
        <w:t xml:space="preserve">《意见》全文共计九部分，45个条文。要求各级人民法院积极回应人民群众对于新时期人民法院工作的新要求和新期待，切实践行司法为民，大力加强公正司法，不断提高司法公信力，充分发挥人民法院的职能作用。</w:t>
      </w:r>
    </w:p>
    <w:p>
      <w:r>
        <w:t xml:space="preserve">《意见》强调，各级人民法院要创新和落实便民利民措施，切实增强司法为民的实际效果。要认真注重司法审判工作与社会生活的融合，切实保障当事人行使诉讼权利，不断加强诉讼服务窗口建设，积极提高便民利民措施实效，有效强化对当事人的诉讼指导与帮助，切实降低当事人的诉讼成本。</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1">
        <w:r>
          <w:rPr>
            <w:rStyle w:val="Link"/>
          </w:rPr>
          <w:t xml:space="preserve">unsubscribe@charltonslaw.com</w:t>
        </w:r>
      </w:hyperlink>
    </w:p>
    <w:p>
      <w:r>
        <w:rPr>
          <w:b/>
        </w:rPr>
        <w:t xml:space="preserve">易周律师行 - 法讯 - 中国 - 第380期 - 2013年11月01日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cdd3c9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epaper/index/content_514678.htm" TargetMode="External" /><Relationship Type="http://schemas.openxmlformats.org/officeDocument/2006/relationships/hyperlink" Id="rId56" Target="http://finance.sina.com.cn/china/20131030/155017167133.shtml" TargetMode="External" /><Relationship Type="http://schemas.openxmlformats.org/officeDocument/2006/relationships/hyperlink" Id="rId45" Target="http://finance.sina.com.cn/stock/hyyj/20131030/034017157504.shtml" TargetMode="External" /><Relationship Type="http://schemas.openxmlformats.org/officeDocument/2006/relationships/hyperlink" Id="rId35" Target="http://finance.sina.com.cn/stock/s/20131028/011717128416.shtml" TargetMode="External" /><Relationship Type="http://schemas.openxmlformats.org/officeDocument/2006/relationships/hyperlink" Id="rId38" Target="http://finance.sina.com.cn/stock/s/20131101/033117187103.shtml" TargetMode="External" /><Relationship Type="http://schemas.openxmlformats.org/officeDocument/2006/relationships/hyperlink" Id="rId31" Target="http://kuaixun.stcn.com/2013/1029/10858504.shtml" TargetMode="External" /><Relationship Type="http://schemas.openxmlformats.org/officeDocument/2006/relationships/hyperlink" Id="rId28" Target="http://kuaixun.stcn.com/2013/1030/10862334.shtml" TargetMode="External" /><Relationship Type="http://schemas.openxmlformats.org/officeDocument/2006/relationships/hyperlink" Id="rId49" Target="http://kuaixun.stcn.com/2013/1031/10865633.shtml" TargetMode="External" /><Relationship Type="http://schemas.openxmlformats.org/officeDocument/2006/relationships/hyperlink" Id="rId59" Target="http://rmfyb.chinacourt.org/paper/html/2013-10/29/content_72135.htm?div=-1" TargetMode="External" /><Relationship Type="http://schemas.openxmlformats.org/officeDocument/2006/relationships/hyperlink" Id="rId21" Target="http://www.charltonslaw.com.cn/china-news-alerts-cn-issue-380/" TargetMode="External" /><Relationship Type="http://schemas.openxmlformats.org/officeDocument/2006/relationships/hyperlink" Id="rId52" Target="http://www.mofcom.gov.cn/article/ae/ai/201310/20131000371898.shtml" TargetMode="External" /><Relationship Type="http://schemas.openxmlformats.org/officeDocument/2006/relationships/hyperlink" Id="rId42" Target="http://www.sda.gov.cn/WS01/CL0844/93678.html" TargetMode="External" /><Relationship Type="http://schemas.openxmlformats.org/officeDocument/2006/relationships/hyperlink" Id="rId61"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epaper/index/content_514678.htm" TargetMode="External" /><Relationship Type="http://schemas.openxmlformats.org/officeDocument/2006/relationships/hyperlink" Id="rId56" Target="http://finance.sina.com.cn/china/20131030/155017167133.shtml" TargetMode="External" /><Relationship Type="http://schemas.openxmlformats.org/officeDocument/2006/relationships/hyperlink" Id="rId45" Target="http://finance.sina.com.cn/stock/hyyj/20131030/034017157504.shtml" TargetMode="External" /><Relationship Type="http://schemas.openxmlformats.org/officeDocument/2006/relationships/hyperlink" Id="rId35" Target="http://finance.sina.com.cn/stock/s/20131028/011717128416.shtml" TargetMode="External" /><Relationship Type="http://schemas.openxmlformats.org/officeDocument/2006/relationships/hyperlink" Id="rId38" Target="http://finance.sina.com.cn/stock/s/20131101/033117187103.shtml" TargetMode="External" /><Relationship Type="http://schemas.openxmlformats.org/officeDocument/2006/relationships/hyperlink" Id="rId31" Target="http://kuaixun.stcn.com/2013/1029/10858504.shtml" TargetMode="External" /><Relationship Type="http://schemas.openxmlformats.org/officeDocument/2006/relationships/hyperlink" Id="rId28" Target="http://kuaixun.stcn.com/2013/1030/10862334.shtml" TargetMode="External" /><Relationship Type="http://schemas.openxmlformats.org/officeDocument/2006/relationships/hyperlink" Id="rId49" Target="http://kuaixun.stcn.com/2013/1031/10865633.shtml" TargetMode="External" /><Relationship Type="http://schemas.openxmlformats.org/officeDocument/2006/relationships/hyperlink" Id="rId59" Target="http://rmfyb.chinacourt.org/paper/html/2013-10/29/content_72135.htm?div=-1" TargetMode="External" /><Relationship Type="http://schemas.openxmlformats.org/officeDocument/2006/relationships/hyperlink" Id="rId21" Target="http://www.charltonslaw.com.cn/china-news-alerts-cn-issue-380/" TargetMode="External" /><Relationship Type="http://schemas.openxmlformats.org/officeDocument/2006/relationships/hyperlink" Id="rId52" Target="http://www.mofcom.gov.cn/article/ae/ai/201310/20131000371898.shtml" TargetMode="External" /><Relationship Type="http://schemas.openxmlformats.org/officeDocument/2006/relationships/hyperlink" Id="rId42" Target="http://www.sda.gov.cn/WS01/CL0844/93678.html" TargetMode="External" /><Relationship Type="http://schemas.openxmlformats.org/officeDocument/2006/relationships/hyperlink" Id="rId61"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第380期 - 2013年11月01日</dc:title>
  <dc:creator/>
</cp:coreProperties>
</file>