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第381期</w:t>
      </w:r>
      <w:r>
        <w:t xml:space="preserve"> </w:t>
      </w:r>
      <w:r>
        <w:t xml:space="preserve">-</w:t>
      </w:r>
      <w:r>
        <w:t xml:space="preserve"> </w:t>
      </w:r>
      <w:r>
        <w:t xml:space="preserve">2013年11月11日</w:t>
      </w:r>
    </w:p>
    <w:p>
      <w:hyperlink r:id="rId21">
        <w:r>
          <w:rPr>
            <w:rStyle w:val="Link"/>
          </w:rPr>
          <w:t xml:space="preserve">网络版</w:t>
        </w:r>
      </w:hyperlink>
    </w:p>
    <w:p>
      <w:pPr>
        <w:pStyle w:val="Heading1"/>
      </w:pPr>
      <w:bookmarkStart w:id="22" w:name="法讯中国第381期"/>
      <w:bookmarkEnd w:id="22"/>
      <w:r>
        <w:t xml:space="preserve">法讯中国第381期</w:t>
      </w:r>
    </w:p>
    <w:p>
      <w:pPr>
        <w:pStyle w:val="Heading2"/>
      </w:pPr>
      <w:bookmarkStart w:id="23" w:name="资本市场"/>
      <w:bookmarkEnd w:id="23"/>
      <w:r>
        <w:t xml:space="preserve">资本市场</w:t>
      </w:r>
    </w:p>
    <w:p>
      <w:pPr>
        <w:pStyle w:val="Heading3"/>
      </w:pPr>
      <w:bookmarkStart w:id="24" w:name="鸡蛋期货破壳上市"/>
      <w:bookmarkEnd w:id="24"/>
      <w:r>
        <w:t xml:space="preserve">鸡蛋期货破壳上市</w:t>
      </w:r>
    </w:p>
    <w:p>
      <w:r>
        <w:t xml:space="preserve">鸡蛋期货11月8日在大连商品交易所破壳上市。根据大连商品交易所公布的鸡蛋货合约挂盘基准价，鸡蛋期货JD1403、JD1404、JD1405合约挂牌基准价分别为3800元/500千克、3900元/500千克和4000元/500千克，其中5月份为主力合约。上市首日涨跌停板幅度为挂盘基准价的8%。</w:t>
      </w:r>
    </w:p>
    <w:p>
      <w:r>
        <w:t xml:space="preserve">鸡蛋期货有利于“熨平”蛋周期。证监会指出，上市鸡蛋期货有利于进一步完善鸡蛋价格体系，健全鸡蛋价格形成机制，有助于鸡蛋市场的平稳运行，同时为鸡蛋生产、贸易和消费企业提供必要的避险工具，推进鸡蛋产业化、规模化经营，促进现货企业稳健发展。</w:t>
      </w:r>
    </w:p>
    <w:p>
      <w:r>
        <w:t xml:space="preserve">鸡蛋期货已具备上市条件。证监会认为，我国鸡蛋市场化程度高，现货交易顺畅，价格由充分竞争形成；鸡蛋市场规模适中，商品化率高，可供交割量充足；鸡蛋有明确的行业标准，可以实现标准化；鸡蛋价格波动较大且频繁，行业存在利用期货市场套期保值、规避价格风险的需求。</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央行首次披露常备借贷便利操作情况"/>
      <w:bookmarkEnd w:id="27"/>
      <w:r>
        <w:t xml:space="preserve">央行首次披露常备借贷便利操作情况</w:t>
      </w:r>
    </w:p>
    <w:p>
      <w:r>
        <w:t xml:space="preserve">中国人民银行11月6日首次披露了新货币政策工具——常备借贷便利（SLF）的操作情况，截至9月末，SLF的余额为3860亿元。</w:t>
      </w:r>
    </w:p>
    <w:p>
      <w:r>
        <w:t xml:space="preserve">央行于2013年初创设了常备借贷便利，主要功能是满足金融机构期限较长的大额流动性需求。对象主要为政策性银行和全国性商业银行。期限为1~3个月。利率水平根据货币政策调控、引导市场利率的需要等综合确定。常备借贷便利以抵押方式发放，合格抵押品包括高信用评级的债券类资产及优质信贷资产等。</w:t>
      </w:r>
    </w:p>
    <w:p>
      <w:r>
        <w:t xml:space="preserve">据央行介绍，今年1~9月，央行开展了常备借贷便利操作，取得了较好的效果。2013年春节前，央行通过常备借贷便利解决了部分商业银行因现金大量投放产生的资金缺口。6月份，在货币市场受多种因素叠加影响出现波动时，央行通过常备借贷便利向贷款符合国家产业政策和宏观审慎要求、有利于支持实体经济、总量和进度比较稳健的金融机构提供了流动性支持；对流动性管理出现问题的机构，也视情况采取了相应措施提供流动性支持，维护了金融稳定。</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央行发布第三季度中国货币政策执行报告"/>
      <w:bookmarkEnd w:id="30"/>
      <w:r>
        <w:t xml:space="preserve">央行发布第三季度中国货币政策执行报告</w:t>
      </w:r>
    </w:p>
    <w:p>
      <w:r>
        <w:t xml:space="preserve">央行11月5日发布了第三季度中国货币政策执行报告。2013年第三季度，中国经济稳中向好，经济增长处在合理区间。消费平稳增长，投资增长较快；农业生产形势较好，工业结构调整逐步推进；消费价格涨幅和就业基本稳定。前三季度，实现国内生产总值(GDP)38.7万亿元，同比增长7.7%，居民消费价格(CPI)同比上涨2.5%。</w:t>
      </w:r>
    </w:p>
    <w:p>
      <w:r>
        <w:t xml:space="preserve">中国人民银行根据中央经济工作会议精神和国务院统一部署，坚持稳中求进的工作总基调，继续实施稳健的货币政策，不放松也不收紧银根，着力增强政策的针对性、协调性，适时适度进行预调微调。</w:t>
      </w:r>
    </w:p>
    <w:p>
      <w:r>
        <w:t xml:space="preserve">报告提出，要进一步优化金融资源配置，把政策落到实处，用好增量、盘活存量，更有力地支持结构调整，更好地服务于实体经济发展，引导和巩固经济稳中向好的走势。</w:t>
      </w:r>
    </w:p>
    <w:p>
      <w:r>
        <w:t xml:space="preserve">报告称，严格控制对高耗能、高排放行业和产能过剩行业的贷款，促进产能过剩矛盾化解。落实好差别化住房信贷政策，支持保障性住房、中小套型普通商品住房建设和居民首套自住普通商品房消费，坚决抑制投机投资性购房需求。引导金融机构区别情况，有针对性地采取差别化的方式方法，逐步调整盘活存量。完善相应的考核和激励机制，科学合理地考核银行经营绩效，优化金融组织体系，进一步改善金融服务。</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证协签署仲调对接协议-完善证券纠纷调解机制"/>
      <w:bookmarkEnd w:id="33"/>
      <w:r>
        <w:t xml:space="preserve">中证协签署仲调对接协议 完善证券纠纷调解机制</w:t>
      </w:r>
    </w:p>
    <w:p>
      <w:r>
        <w:t xml:space="preserve">2013年11月5日下午，中国证券业协会与北京仲裁委员会战略合作框架协议签约仪式暨证券业多元化争议解决机制现状与展望座谈会在北京仲裁委员会国际会议厅隆重举行。证券业协会与北京仲裁委员会有关领导及相关部门负责人共30多人参加了此次座谈会及签约仪式。</w:t>
      </w:r>
    </w:p>
    <w:p>
      <w:r>
        <w:t xml:space="preserve">本次框架协议的签订标志着中国证券业协会建立了仲调对接机制，是完善证券纠纷行业调解机制的一项重要举措。中国证券业协会与北京仲裁委员会签署战略合作框架协议，搭建起仲调对接合作平台，有利于发挥双方的资源优势，协作联动、信息互通、资源共享，推动证券行业通过多元化争议解决机制解决纠纷。</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股指期权仿真交易启动"/>
      <w:bookmarkEnd w:id="36"/>
      <w:r>
        <w:t xml:space="preserve">股指期权仿真交易启动</w:t>
      </w:r>
    </w:p>
    <w:p>
      <w:r>
        <w:t xml:space="preserve">沪深300股指期权合约仿真交易8日启动。</w:t>
      </w:r>
    </w:p>
    <w:p>
      <w:r>
        <w:t xml:space="preserve">借鉴国际市场经验，结合我国内地期货、现货市场运行状况，股指期权仿真交易选择沪深300指数作为标的，合约行权方式为欧式。合约乘数为100元人民币，合约月份为当月、下两个近月和随后的两个季月(季月为三、六、九、十二月循环)；合约当月与下2个月行权价格间距为50点，随后2个季月合约的行权价格间距为100点。按照行权价格间距，沪深300股指期权合约当月与下2个月合约在平值期权合约上下至少各挂出3个合约，季月合约在平值期权合约上下至少各挂出2个合约。交割方式为现金交割，合约代码为IO。</w:t>
      </w:r>
    </w:p>
    <w:p>
      <w:r>
        <w:t xml:space="preserve">中金所11月7日发布的《关于沪深300股指期权合约仿真交易有关事项的通知》指出，沪深300股指期权仿真交易首批交易的合约月份为2013年12月、2014年1月、2014年2月、2014年3月和2014年6月。</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北大荒涉信披违规遭调查-证监局多次发现其违规"/>
      <w:bookmarkEnd w:id="39"/>
      <w:r>
        <w:t xml:space="preserve">北大荒涉信披违规遭调查 证监局多次发现其违规</w:t>
      </w:r>
    </w:p>
    <w:p>
      <w:r>
        <w:t xml:space="preserve">11月7日，北大荒发布公告称，因信息披露涉嫌违反证券法律法规，公司已于7日收到证监会的《调查通知书》，证监会已决定就北大荒的信批问题进行立案调查。</w:t>
      </w:r>
    </w:p>
    <w:p>
      <w:r>
        <w:t xml:space="preserve">此前9月6日，北大荒曾发布公告称，其在9月5日连续收到黑龙江证监局的3份《行政监管措施决定书》。其中，编号为8号的《决定书》称，2003年起，北大荒一直公开披露，其持有北大荒米业98.55%的股权，但直到今年3月31日，工商登记资料中才显示该持股比例。</w:t>
      </w:r>
    </w:p>
    <w:p>
      <w:r>
        <w:t xml:space="preserve">“信息披露与工商登记情况不符。”《决定书》称，此行为已违反《上市公司信息披露管理办法》的相关规定。</w:t>
      </w:r>
    </w:p>
    <w:p>
      <w:r>
        <w:t xml:space="preserve">黑龙江证监局还发现，北大荒在对外拆借资金、关联方借款等方面，多次发生信披违规的行为。</w:t>
      </w:r>
    </w:p>
    <w:p>
      <w:r>
        <w:t xml:space="preserve">此外，去年8月至今年7月间，北大荒下属子公司共发生过10余起诉讼，累计诉讼金额7.37亿元，已超过去年审计净资产的10%。但“除部分诉讼在今年8月披露以外，其余均未披露”。</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行业"/>
      <w:bookmarkEnd w:id="42"/>
      <w:r>
        <w:t xml:space="preserve">行业</w:t>
      </w:r>
    </w:p>
    <w:p>
      <w:pPr>
        <w:pStyle w:val="Heading3"/>
      </w:pPr>
      <w:bookmarkStart w:id="43" w:name="商务部发布关于进一步加强内贸规划工作的实施意见"/>
      <w:bookmarkEnd w:id="43"/>
      <w:r>
        <w:t xml:space="preserve">商务部发布《关于进一步加强内贸规划工作的实施意见》</w:t>
      </w:r>
    </w:p>
    <w:p>
      <w:r>
        <w:t xml:space="preserve">为推动内贸管理工作创新，充分发挥各类内贸规划引领和带动作用，近日，商务部发布《商务部关于进一步加强内贸规划工作的实施意见》（《意见》）。</w:t>
      </w:r>
    </w:p>
    <w:p>
      <w:r>
        <w:t xml:space="preserve">《意见》提出，到2015年，基本完成县级市商业网点规划编制工作；到2018年，各省(区、市)编制完成内贸发展规划；到2020年，内贸规划体系更加健全，编制程序更加规范。</w:t>
      </w:r>
    </w:p>
    <w:p>
      <w:r>
        <w:t xml:space="preserve">根据《意见》，按照功能，国内贸易规划分为发展规划、专项规划和网点规划三类。发展规划依据国家或地方的国民经济和社会发展五年规划纲要制订，以促进全国或某一区域内国内贸易总体发展为目标，主要是对内贸行业发展进行总体设计。专项规划则依据发展规划制订，以促进或规范特定行业、领域或区域国内贸易发展为目的，包含一定的空间布局内容，主要是对特定范围内贸发展进行系统设计。网点规划依据城市总体规划和土地利用总体规划制订，以优化城乡商业设施空间布局和结构、改善商业发展环境和居民消费环境为目的，侧重于空间布局，主要是对一个地方的商业发展进行总体安排。</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两部委严令遏制产能过剩行业盲目投资"/>
      <w:bookmarkEnd w:id="46"/>
      <w:r>
        <w:t xml:space="preserve">两部委严令遏制产能过剩行业盲目投资</w:t>
      </w:r>
    </w:p>
    <w:p>
      <w:r>
        <w:t xml:space="preserve">国家发改委副主任胡祖才11月4日要求各地贯彻落实国务院有关化解过剩产能要求，落实地方政府的主体责任，做好化解工作；同时，坚决遏制产能严重过剩行业盲目扩张，防止出现违规项目。</w:t>
      </w:r>
    </w:p>
    <w:p>
      <w:r>
        <w:t xml:space="preserve">胡祖才在发改委、工信部联合召开的关于化解产能严重过剩矛盾的指导意见宣传贯彻电视电话会议上说，各地要把化解产能严重过剩与产业结构调整、大气污染治理、布局调整优化紧密结合起来，在化解产能过剩中推动产业转型升级，在产业结构调整中化解产能过剩，着力推进山东、河北等地钢铁产业结构调整。</w:t>
      </w:r>
    </w:p>
    <w:p>
      <w:r>
        <w:t xml:space="preserve">胡祖才表示，化解过剩产能还要积极开拓国际市场，鼓励优势企业“走出去”，把化解产能过剩与对外开放战略结合起来，实现过剩产能的优化利用。</w:t>
      </w:r>
    </w:p>
    <w:p>
      <w:r>
        <w:t xml:space="preserve">工信部总工程师朱宏任在会上强调，在落实国务院《关于化解产能严重过剩矛盾的指导意见》过程中，重点要严禁建设产能过剩行业新增产能项目，妥善处理在建和建成违规产能，坚决遏制产能盲目扩张；提前一年完成“十二五”淘汰落后产能目标任务，在此基础上按期完成追加任务；通过提高能源消耗、污染物排放标准，严格执行特别排放限值要求,加快落后产能退出。</w:t>
      </w:r>
    </w:p>
    <w:p>
      <w:r>
        <w:t xml:space="preserve">朱宏任表示，有关部门将尽快出台重点行业产能置换实施办法，引导过剩产能有序退出；推进企业兼并重组，落实完善促进企业兼并重组的政策措施,支持和培育优强企业发展壮大；充分发挥产业政策的引导和约束作用，落实《产业转移指导目录（2012年本）》；搭建实体对接平台，指导中西部地区有序承接产业转移。</w:t>
      </w:r>
    </w:p>
    <w:p>
      <w:r>
        <w:t xml:space="preserve">此前，国务院印发了《关于化解产能严重过剩矛盾的指导意见》，对化解钢铁、水泥、电解铝、平板玻璃、船舶等行业的产能严重过剩矛盾做出了明确部署。</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航空新政取消机票价格下限"/>
      <w:bookmarkEnd w:id="49"/>
      <w:r>
        <w:t xml:space="preserve">航空新政取消机票价格下限</w:t>
      </w:r>
    </w:p>
    <w:p>
      <w:r>
        <w:t xml:space="preserve">11月6日，中国民用航空局(下称民航局)和国家发展与改革委员会联合公开《关于完善民航国内航空旅客运输价格政策有关问题的通知》(下称《通知》)，称对旅客运输票价实行政府指导价的国内航线均取消票价下浮幅度限制，意味着民航局对国内航班机票定价设定下限的政策正式作古。此外，文件还增加31条执行市场调节价的航线，即定价不设上下限完全由航空公司按照市场供求决定。</w:t>
      </w:r>
    </w:p>
    <w:p>
      <w:r>
        <w:t xml:space="preserve">中国国内航班的机票定价分为政府指导价和市场调节价两类，根据民航局此前的规定，要实行市场调节价必须要航空公司提出申请后民航局单独批准，执行政府指导价的航班必须在基准价上下一定范围内浮动。</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wto"/>
      <w:bookmarkEnd w:id="52"/>
      <w:r>
        <w:t xml:space="preserve">WTO</w:t>
      </w:r>
    </w:p>
    <w:p>
      <w:pPr>
        <w:pStyle w:val="Heading3"/>
      </w:pPr>
      <w:bookmarkStart w:id="53" w:name="商务部公布对进口浆粕反倾销调查的初裁决定"/>
      <w:bookmarkEnd w:id="53"/>
      <w:r>
        <w:t xml:space="preserve">商务部公布对进口浆粕反倾销调查的初裁决定</w:t>
      </w:r>
    </w:p>
    <w:p>
      <w:r>
        <w:t xml:space="preserve">2013年11月6日，商务部发布2013年第75号公告，公布了浆粕（cellulose pulp）反倾销调查的初裁决定。</w:t>
      </w:r>
    </w:p>
    <w:p>
      <w:r>
        <w:t xml:space="preserve">商务部初步认定，在本案调查期内，原产于美国、加拿大和巴西的进口浆粕产品存在倾销，其中美国公司倾销幅度为18.7%-29.8%,加拿大公司倾销幅度为0.7%-50.9%，巴西公司倾销幅度为6.8%-49.4%，中国国内浆粕产业受到实质损害，且倾销与实质损害之间存在因果关系。商务部决定自2013年11月7日起，对进口浆粕采取保证金形式的临时反倾销措施。进口经营者在进口上述来源的该产品时，应依据初裁决定所确定的保证金率向中国海关提供相应的保证金。</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债券"/>
      <w:bookmarkEnd w:id="56"/>
      <w:r>
        <w:t xml:space="preserve">债券</w:t>
      </w:r>
    </w:p>
    <w:p>
      <w:pPr>
        <w:pStyle w:val="Heading3"/>
      </w:pPr>
      <w:bookmarkStart w:id="57" w:name="财政部将在香港发行100亿元人民币国债"/>
      <w:bookmarkEnd w:id="57"/>
      <w:r>
        <w:t xml:space="preserve">财政部将在香港发行100亿元人民币国债</w:t>
      </w:r>
    </w:p>
    <w:p>
      <w:r>
        <w:t xml:space="preserve">财政部11月5日表示,经国务院批准， 2013年财政部将在香港发行230亿元人民币国债。其中，6月26日已发行130亿元，11月21日将再发行100亿元。</w:t>
      </w:r>
    </w:p>
    <w:p>
      <w:r>
        <w:t xml:space="preserve">此次发行的100亿元人民币国债中，通过配售银行和香港交易所平台向香港居民发行30亿元2年期人民币国债，这是首次引入香港交易所平台作为人民币国债的申购渠道；通过香港债务工具中央结算系统（CMU）面向机构投资者招标发行70亿元，包括3年期50亿元，5年期20亿元。人民币国债发行后，继续在香港交易所挂牌上市交易。</w:t>
      </w:r>
    </w:p>
    <w:p>
      <w:r>
        <w:t xml:space="preserve">中国中央政府在香港发行人民币国债始自2009年。当年9月，财政部在香港发行60亿元人民币国债，这也是中国国债首次在境外发行。此后，中国政府在香港发行人民币债券的规模持续上升，从2010年的80亿元一路升至2012年的230亿元。</w:t>
      </w:r>
    </w:p>
    <w:p>
      <w:r>
        <w:t xml:space="preserve">此举为香港人民币的持有者提供了合适的投资渠道，在加强内地和金融合作的同时，更有利于推动人民币国际化进程。国际清算银行9月的一份报告显示，得益于离岸人民币交易，人民币已跻身交易全球最频繁的十大货币行列。目前，香港是最大的人民币离岸市场。</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0">
        <w:r>
          <w:rPr>
            <w:rStyle w:val="Link"/>
          </w:rPr>
          <w:t xml:space="preserve">unsubscribe@charltonslaw.com</w:t>
        </w:r>
      </w:hyperlink>
    </w:p>
    <w:p>
      <w:r>
        <w:rPr>
          <w:b/>
        </w:rPr>
        <w:t xml:space="preserve">易周律师行 - 法讯 - 中国 - 第381期 - 2013年11月11日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55ca5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28" Target="http://epaper.stcn.com/paper/zqsb/html/epaper/index/content_517590.htm" TargetMode="External" /><Relationship Type="http://schemas.openxmlformats.org/officeDocument/2006/relationships/hyperlink" Id="rId50" Target="http://finance.sina.com.cn/chanjing/b/20131108/042217259743.shtml" TargetMode="External" /><Relationship Type="http://schemas.openxmlformats.org/officeDocument/2006/relationships/hyperlink" Id="rId40" Target="http://finance.sina.com.cn/stock/s/20131108/084417263098.shtml" TargetMode="External" /><Relationship Type="http://schemas.openxmlformats.org/officeDocument/2006/relationships/hyperlink" Id="rId34" Target="http://finance.sina.com.cn/stock/y/20131106/111817238714.shtml" TargetMode="External" /><Relationship Type="http://schemas.openxmlformats.org/officeDocument/2006/relationships/hyperlink" Id="rId37" Target="http://finance.sina.com.cn/stock/y/20131108/031017259110.shtml" TargetMode="External" /><Relationship Type="http://schemas.openxmlformats.org/officeDocument/2006/relationships/hyperlink" Id="rId47" Target="http://money.163.com/13/1104/22/9CSB1O2F00254TI5.html" TargetMode="External" /><Relationship Type="http://schemas.openxmlformats.org/officeDocument/2006/relationships/hyperlink" Id="rId44" Target="http://scjss.mofcom.gov.cn/article/cf/zcfb/201311/20131100378461.shtml" TargetMode="External" /><Relationship Type="http://schemas.openxmlformats.org/officeDocument/2006/relationships/hyperlink" Id="rId21" Target="http://www.charltonslaw.com.cn/china-news-alerts-cn-issue-381/" TargetMode="External" /><Relationship Type="http://schemas.openxmlformats.org/officeDocument/2006/relationships/hyperlink" Id="rId25" Target="http://www.cs.com.cn/xwzx/zq/201311/t20131108_4199605.html" TargetMode="External" /><Relationship Type="http://schemas.openxmlformats.org/officeDocument/2006/relationships/hyperlink" Id="rId58" Target="http://www.mof.gov.cn/zhengwuxinxi/caizhengxinwen/201311/t20131105_1007677.html" TargetMode="External" /><Relationship Type="http://schemas.openxmlformats.org/officeDocument/2006/relationships/hyperlink" Id="rId54" Target="http://www.mofcom.gov.cn/article/ae/ai/201311/20131100379605.shtml" TargetMode="External" /><Relationship Type="http://schemas.openxmlformats.org/officeDocument/2006/relationships/hyperlink" Id="rId31" Target="http://www.pbc.gov.cn/publish/goutongjiaoliu/524/2013/20131105161226267809782/20131105161226267809782_.html" TargetMode="External" /><Relationship Type="http://schemas.openxmlformats.org/officeDocument/2006/relationships/hyperlink" Id="rId6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28" Target="http://epaper.stcn.com/paper/zqsb/html/epaper/index/content_517590.htm" TargetMode="External" /><Relationship Type="http://schemas.openxmlformats.org/officeDocument/2006/relationships/hyperlink" Id="rId50" Target="http://finance.sina.com.cn/chanjing/b/20131108/042217259743.shtml" TargetMode="External" /><Relationship Type="http://schemas.openxmlformats.org/officeDocument/2006/relationships/hyperlink" Id="rId40" Target="http://finance.sina.com.cn/stock/s/20131108/084417263098.shtml" TargetMode="External" /><Relationship Type="http://schemas.openxmlformats.org/officeDocument/2006/relationships/hyperlink" Id="rId34" Target="http://finance.sina.com.cn/stock/y/20131106/111817238714.shtml" TargetMode="External" /><Relationship Type="http://schemas.openxmlformats.org/officeDocument/2006/relationships/hyperlink" Id="rId37" Target="http://finance.sina.com.cn/stock/y/20131108/031017259110.shtml" TargetMode="External" /><Relationship Type="http://schemas.openxmlformats.org/officeDocument/2006/relationships/hyperlink" Id="rId47" Target="http://money.163.com/13/1104/22/9CSB1O2F00254TI5.html" TargetMode="External" /><Relationship Type="http://schemas.openxmlformats.org/officeDocument/2006/relationships/hyperlink" Id="rId44" Target="http://scjss.mofcom.gov.cn/article/cf/zcfb/201311/20131100378461.shtml" TargetMode="External" /><Relationship Type="http://schemas.openxmlformats.org/officeDocument/2006/relationships/hyperlink" Id="rId21" Target="http://www.charltonslaw.com.cn/china-news-alerts-cn-issue-381/" TargetMode="External" /><Relationship Type="http://schemas.openxmlformats.org/officeDocument/2006/relationships/hyperlink" Id="rId25" Target="http://www.cs.com.cn/xwzx/zq/201311/t20131108_4199605.html" TargetMode="External" /><Relationship Type="http://schemas.openxmlformats.org/officeDocument/2006/relationships/hyperlink" Id="rId58" Target="http://www.mof.gov.cn/zhengwuxinxi/caizhengxinwen/201311/t20131105_1007677.html" TargetMode="External" /><Relationship Type="http://schemas.openxmlformats.org/officeDocument/2006/relationships/hyperlink" Id="rId54" Target="http://www.mofcom.gov.cn/article/ae/ai/201311/20131100379605.shtml" TargetMode="External" /><Relationship Type="http://schemas.openxmlformats.org/officeDocument/2006/relationships/hyperlink" Id="rId31" Target="http://www.pbc.gov.cn/publish/goutongjiaoliu/524/2013/20131105161226267809782/20131105161226267809782_.html" TargetMode="External" /><Relationship Type="http://schemas.openxmlformats.org/officeDocument/2006/relationships/hyperlink" Id="rId6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第381期 - 2013年11月11日</dc:title>
  <dc:creator/>
</cp:coreProperties>
</file>