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第382期</w:t>
      </w:r>
      <w:r>
        <w:t xml:space="preserve"> </w:t>
      </w:r>
      <w:r>
        <w:t xml:space="preserve">-</w:t>
      </w:r>
      <w:r>
        <w:t xml:space="preserve"> </w:t>
      </w:r>
      <w:r>
        <w:t xml:space="preserve">2013年11月15日</w:t>
      </w:r>
    </w:p>
    <w:p>
      <w:hyperlink r:id="rId21">
        <w:r>
          <w:rPr>
            <w:rStyle w:val="Link"/>
          </w:rPr>
          <w:t xml:space="preserve">网络版</w:t>
        </w:r>
      </w:hyperlink>
    </w:p>
    <w:p>
      <w:pPr>
        <w:pStyle w:val="Heading1"/>
      </w:pPr>
      <w:bookmarkStart w:id="22" w:name="法讯中国第382期"/>
      <w:bookmarkEnd w:id="22"/>
      <w:r>
        <w:t xml:space="preserve">法讯中国第382期</w:t>
      </w:r>
    </w:p>
    <w:p>
      <w:pPr>
        <w:pStyle w:val="Heading2"/>
      </w:pPr>
      <w:bookmarkStart w:id="23" w:name="资本市场"/>
      <w:bookmarkEnd w:id="23"/>
      <w:r>
        <w:t xml:space="preserve">资本市场</w:t>
      </w:r>
    </w:p>
    <w:p>
      <w:pPr>
        <w:pStyle w:val="Heading3"/>
      </w:pPr>
      <w:bookmarkStart w:id="24" w:name="曾俊华香港占全球人民币离岸市场资金池75份额"/>
      <w:bookmarkEnd w:id="24"/>
      <w:r>
        <w:t xml:space="preserve">曾俊华：香港占全球人民币离岸市场资金池75%份额</w:t>
      </w:r>
    </w:p>
    <w:p>
      <w:r>
        <w:t xml:space="preserve">“目前全球人民币离岸市场的资金池约为1.2万亿元，其中香港占9000亿，占整体的75%，凭着先行者的优势，香港让离岸人民币业务发展得更深更广。”香港财政司司长曾俊华11月10日作出上述表示。</w:t>
      </w:r>
    </w:p>
    <w:p>
      <w:r>
        <w:t xml:space="preserve">香港财政司司长曾俊华11月10日在网上撰文就上周到访北京的情况作简单回顾。他在文中指出，双方讨论的议题对于香港金融业未来的发展举足轻重，香港在人民币相关金融服务及投资产品方面，成为业界近年发展的亮点。目前全球人民币离岸市场的资金池约为1.2万亿元，其中香港占9000亿，占整体的75%，远高于中国台湾地区、新加坡、英国等经济体的总和。因此，未来继续推动人民币国际化，香港凭着先行者的优势，无论在人民币结算的贸易融资，还是在直接跨境投资、人民币计价金融产品、资产管理和保险产品等业务上，都具有极为庞大的发展空间。</w:t>
      </w:r>
    </w:p>
    <w:p>
      <w:r>
        <w:t xml:space="preserve">曾俊华称，港府一直透过强化香港的金融基建，维持与内地相关部门沟通，让香港本地离岸人民币业务发展得更深更广。香港作为全球首个离岸人民币中心，亦可以为国家提供一个风险可控的测试平台，让人民币的跨境使用逐步扩大，有序地成为国际贸易结算、投资及储备的货币。</w:t>
      </w:r>
    </w:p>
    <w:p>
      <w:r>
        <w:t xml:space="preserve">曾俊华表示，近年来内地与香港将发展重点推向债券市场、两地基金互认、跨境再保险、或内地企业来港成立专属自保保险公司等等。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银监联推银行减记债"/>
      <w:bookmarkEnd w:id="27"/>
      <w:r>
        <w:t xml:space="preserve">证监银监联推银行“减记债”</w:t>
      </w:r>
    </w:p>
    <w:p>
      <w:r>
        <w:t xml:space="preserve">为了拓宽商业银行资本补充渠道，中国证监会和中国银监会11月8日联合发布《关于商业银行发行公司债券补充资本的指导意见》（下称《指导意见》），称符合条件的商业银行可按照规定申请发行公司债券补充资本。其中，商业银行发行包含减记条款的公司债券（下称“减记债”）将先行推出。</w:t>
      </w:r>
    </w:p>
    <w:p>
      <w:r>
        <w:t xml:space="preserve">《指导意见》所称的减记债，是指目前在上海或深圳证券交易所上市的商业银行、发行境外上市外资股的境内商业银行，以及申请在境内首次公开发行股票的在审商业银行（下称“上市或拟上市商业银行”）所发行的包含减记条款的公司债券。</w:t>
      </w:r>
    </w:p>
    <w:p>
      <w:r>
        <w:t xml:space="preserve">根据要求，商业银行发行减记债，应满足相应资本属性要求并提高损失吸收能力。《指导意见》发布实施后，符合条件的商业银行即可按照规定申请发行公司债券补充资本。</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取消部分中资商业银行行政许可事项"/>
      <w:bookmarkEnd w:id="30"/>
      <w:r>
        <w:t xml:space="preserve">银监会取消部分中资商业银行行政许可事项</w:t>
      </w:r>
    </w:p>
    <w:p>
      <w:r>
        <w:t xml:space="preserve">近日，银监会对《中资商业银行行政许可事项实施办法》进行了修订。此次修订对现有行政许可项目的实施必要性、权限设置合理性、监管工作有效性进行了充分评估，就可予取消和下放事项逐条梳理，进一步完善优化了行政许可审查、批准的条件和标准。</w:t>
      </w:r>
    </w:p>
    <w:p>
      <w:r>
        <w:t xml:space="preserve">此次修订中，银监会进一步落实国务院政府职能转变和“简政放权”的工作要求，最大限度缩小银行业监管行政许可的范围，下放行政审批权限，简化行政许可流程。取消了一批行政许可项目，将工作重点由准入预防转向事中、事后的动态化监管。如取消中资商业银行法人及分支机构的筹建延期和开业延期行政许可，由中资商业银行在设立有效期届满后，自行决定延期一次，以报告有关情况替代行政许可，依靠银行业金融机构的自律与银监会日常监管减少重复审批。取消中资商业银行开办证券投资基金托管业务和合格境外机构投资者境内证券投资托管业务行政审批。取消中资商业银行分支机构降格和临时停业审批。取消中资商业银行信用卡章程审批项目，通过行业自律、市场规则以及加强银行业消费者权益保护来规范银行业金融机构信用卡业务。</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粤试点小额外保内贷业务-最多可贷5000万"/>
      <w:bookmarkEnd w:id="33"/>
      <w:r>
        <w:t xml:space="preserve">粤试点小额外保内贷业务 最多可贷5000万</w:t>
      </w:r>
    </w:p>
    <w:p>
      <w:r>
        <w:t xml:space="preserve">为推进跨境担保外汇管理改革，简化外保内贷业务手续，支持中小微企业健康发展，国家外汇管理局近日下发《关于在部分地区试行小额外保内贷业务有关外汇管理问题的通知》，批准广东省等地区首批试点开展境内企业小额外保内贷业务。</w:t>
      </w:r>
    </w:p>
    <w:p>
      <w:r>
        <w:t xml:space="preserve">小额外保内贷是指在境外机构或个人提供担保（保证、抵押、质押等）的条件下，境内企业从境内金融机构取得一定金额的本外币贷款或授信额度。以前，企业办理外保内贷业务手续较为复杂，且限制条件较多：中资企业办理外保内贷业务需事前向所在地外汇局申请额度；外商投资企业虽可直接办理外保内贷业务，但其外保内贷履约额要纳入企业借债规模管理；无论中外资企业，发生外保内贷履约均需办理外债登记。</w:t>
      </w:r>
    </w:p>
    <w:p>
      <w:r>
        <w:t xml:space="preserve">开展该业务试点后，广东省企业只要符合以下条件即可直接办理小额外保内贷业务：一个日历年内单家企业小额外保内贷项下贷款签约总金额不超过等值人民币5000万元；在任一时点，小额外保内贷项下贷款未偿本金余额均不超过该企业上年末净资产。企业外保内贷项下借用资金应用于企业经营范围内正常的生产经营开支。如果发生境外担保履约，企业无须办理外债登记，也不占用企业短期外债额度。中资企业办理外保内贷业务若不符合上述条件，仍应按照相关规定向所在地外汇局申请外保内贷额度。</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粳稻期货合约细则公布-11月18日挂牌上市"/>
      <w:bookmarkEnd w:id="36"/>
      <w:r>
        <w:t xml:space="preserve">粳稻期货合约细则公布 11月18日挂牌上市</w:t>
      </w:r>
    </w:p>
    <w:p>
      <w:r>
        <w:t xml:space="preserve">郑商所11月11日公布粳稻期货合约细则，交易单位设为20吨/手，交割单位为1000吨。按2013年粳稻最低收购价计算，粳稻每吨3000元，一手粳稻合约价值在6万元左右，交易一手合约需要约6000元资金，合约价值与已上市的早籼稻、强麦等农产品期货品种相当。</w:t>
      </w:r>
    </w:p>
    <w:p>
      <w:r>
        <w:t xml:space="preserve">此外，郑商所11月12日发布通知称，粳稻期货将在18日挂牌上市交易。首批上市交易合约为JR403、JR405、JR407、JR409、JR411，各合约挂牌基准价均为3050元/吨。</w:t>
      </w:r>
    </w:p>
    <w:p>
      <w:r>
        <w:t xml:space="preserve">根据要求，粳稻期货上市首日涨跌停板幅度为合约挂牌基准价的±8%，交易保证金为5%。同时，粳稻期货交易手续费收取标准为3元/手。并自上市之日起，粳稻期货合约当日开平仓手续费减半收取。目前，粳稻指定质检机构为黑龙江省粮油卫生检验监测站和中国检验认证集团辽宁有限公司。</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结算发布基金类产品质押式回购登记结算暂行办法"/>
      <w:bookmarkEnd w:id="39"/>
      <w:r>
        <w:t xml:space="preserve">中国结算发布《基金类产品质押式回购登记结算暂行办法》</w:t>
      </w:r>
    </w:p>
    <w:p>
      <w:r>
        <w:t xml:space="preserve">11月11日，中国证券登记结算有限责任公司发布《基金类产品质押式回购登记结算暂行办法》。</w:t>
      </w:r>
    </w:p>
    <w:p>
      <w:r>
        <w:t xml:space="preserve">《办法》所称基金类产品质押式回购是指在证券交易所挂牌的以基金类产品份额作为质押品、实行标准券制度的回购交易。《办法》明确，对于在证券交易所采用集中竞价交易制度的质押式回购交易，中国结算作为共同对手方提供多边净额清算，并按照货银对付的原则，与结算参与人进行证券和资金的交收。</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住建部取消一级房地产估价机构资质行政审批事项"/>
      <w:bookmarkEnd w:id="43"/>
      <w:r>
        <w:t xml:space="preserve">住建部取消一级房地产估价机构资质行政审批事项</w:t>
      </w:r>
    </w:p>
    <w:p>
      <w:r>
        <w:t xml:space="preserve">１１月８日，住房城乡建设部有关负责人介绍，为深化行政审批制度改革，提高行政效能，经研究，决定转变一级房地产估价机构资质管理方式，进一步规范房地产估价机构管理工作。住房城乡建设部不再承担一级房地产估价机构资质核准工作，改由省、自治区、直辖市住房城乡建设（房地产）管理部门负责本行政区域内的相关核准工作。</w:t>
      </w:r>
    </w:p>
    <w:p>
      <w:r>
        <w:t xml:space="preserve">住房城乡建设部负责指导和监督房地产估价机构资质核准工作，制定房地产估价机构资质等级条件，指导全国房地产估价行业管理信息平台建设，制定房地产估价机构资质证书式样。</w:t>
      </w:r>
    </w:p>
    <w:p>
      <w:r>
        <w:t xml:space="preserve">此外，住房城乡建设部要求，各地要努力营造公平竞争、打破分割、优胜劣汰的市场环境，促进形成统一的全国性房地产估价市场，不得利用资质核准管理、设定限制性条件等手段阻碍或排斥外地机构进入本地市场；也不得以变相降低本地房地产估价机构资质核准条件、选择性执法等方式保护本地机构。</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上海二套房首付调至七成-一线城市楼市调控再收紧"/>
      <w:bookmarkEnd w:id="46"/>
      <w:r>
        <w:t xml:space="preserve">上海二套房首付调至七成 一线城市楼市调控再收紧</w:t>
      </w:r>
    </w:p>
    <w:p>
      <w:r>
        <w:t xml:space="preserve">11月8日，上海出台楼市调控新七条，旨在进一步收紧房地产调控口径。为配合上海出台《进一步严格执行国家房地产市场调控政策相关措施》，“上海银发241号文”同日下发，进一步调整差别化的住房信贷政策。至此，北上广深四大一线城市悉数出台紧缩性调控新政，涉及信贷、限价、限售等多个途径。 继11月6日上海召开市政府常务会议部署进一步加强房地产市场调控工作之后，11月8日，上海正式出台《进一步严格执行国家房地产市场调控政策相关措施》，市场称为“沪七条”。具体内容包括：保证完成今年初本市明确的房价调控目标；居民家庭向商业银行贷款购买第二套住房的，其首付款比例从六成调高至七成；非本市户籍居民家庭购房，需提供自购房之日起算的前3年内在本市累计缴纳2年以上的税收或社保费证明；完善“四位一体”、租售并举的住房保障体系；严格执行差别化住房税收政策；以及加强房地产市场监管。</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公司"/>
      <w:bookmarkEnd w:id="49"/>
      <w:r>
        <w:t xml:space="preserve">公司</w:t>
      </w:r>
    </w:p>
    <w:p>
      <w:pPr>
        <w:pStyle w:val="Heading3"/>
      </w:pPr>
      <w:bookmarkStart w:id="50" w:name="重庆银行-徽商银行赴港上市"/>
      <w:bookmarkEnd w:id="50"/>
      <w:r>
        <w:t xml:space="preserve">重庆银行 徽商银行赴港上市</w:t>
      </w:r>
    </w:p>
    <w:p>
      <w:r>
        <w:t xml:space="preserve">11月6日，重庆银行在香港联交所首次公开发行，成为首家H股上市的内地城商行。公开发售部分的股份获得了8倍的超额认购。</w:t>
      </w:r>
    </w:p>
    <w:p>
      <w:r>
        <w:t xml:space="preserve">而11月12日，徽商银行在香港联合交易所主板上市，融资额度92.2亿港元,是近3年来香港最大的银行IPO。在香港公开发行受到境内外机构的热捧。中国房地产龙头企业万科、周大福、江苏汇金控股集团有限公司、通用技术集团香港国际资本有限公司及Peaceland Limited成为基石投资者。</w:t>
      </w:r>
    </w:p>
    <w:p>
      <w:r>
        <w:t xml:space="preserve">截至2013年8月,内地公司的股票交易额在整个港股市场交易额中已占比67%,并且每年还在递增。其中,城商行、保险公司、证券公司、租赁公司等大型金融机构仍是近年和未来大型H股IPO的主要来源,而且,受证监会H股IPO境内审批政策导向影响,未来以H股登入香港资本市场的企业将不仅限于大型国有企业。</w:t>
      </w:r>
    </w:p>
    <w:p>
      <w:r>
        <w:t xml:space="preserve">赴港上市有诸多便利。首先可极大缩短上市时间,目前A股IPO排队现象严重,重启上市日期尚不确定,导致多数企业选择海外资本市场退出。其次,H股IPO香港监管审核和发行阶段更加市场化,相比美国资本市场而言,香港是一个说中文且没有时差的市场,估值也高,后续上市维护成本更低。最后是在香港上市也能吸引国际资本。重庆银行、微商银行的国际配售部分均为90%,香港公开发售部分仅10%。</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奥飞动漫6.92亿收购两手游公司"/>
      <w:bookmarkEnd w:id="54"/>
      <w:r>
        <w:t xml:space="preserve">奥飞动漫6.92亿收购两手游公司</w:t>
      </w:r>
    </w:p>
    <w:p>
      <w:r>
        <w:t xml:space="preserve">A股市场中的手游收购潮再现波澜。奥飞动漫11月12日公告，公司将以6.92亿元收购方寸科技和爱乐游两家游戏公司100%股权。</w:t>
      </w:r>
    </w:p>
    <w:p>
      <w:r>
        <w:t xml:space="preserve">奥飞动漫本次收购将以发行股份及支付现金相结合的方式进行，共支付交易对价 6.92亿元。其中，以现金支付4.43亿元，剩余2.49亿元以发行股份的方式支付，发行股份价格为 26.65 元/股，共计发行933.98万股。</w:t>
      </w:r>
    </w:p>
    <w:p>
      <w:r>
        <w:t xml:space="preserve">奥飞动漫表示，本次收购的方寸科技、爱乐游均是移动游戏行业内知名的游戏产品开发商。两家公司的游戏开发业务与上市公司的主营业务在产业链延伸及拓展方面具有天然的共通性，是上市公司贯彻以动漫品牌和卡通形象为核心、拓展移动互联网娱乐业务、完善公司在泛娱乐产业战略布局的重要一环。</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香港中科间接收购正和股份29股权"/>
      <w:bookmarkEnd w:id="57"/>
      <w:r>
        <w:t xml:space="preserve">香港中科间接收购正和股份29%股权</w:t>
      </w:r>
    </w:p>
    <w:p>
      <w:r>
        <w:t xml:space="preserve">正和股份11月13日公告称，香港中科石油天然气有限公司为了不触发要约收购条款，已将此前公告的一次性收购正和股份56.66%股权的转让方案，调整成为间接收购正和股份29.61%的股权。</w:t>
      </w:r>
    </w:p>
    <w:p>
      <w:r>
        <w:t xml:space="preserve">2013年10月15日，陈隆基、王华玉与香港中科、HUI Ling（许玲）签署《关于正和国际（香港）集团有限公司100%股权的转让协议》，香港中科受让正和国际（香港）集团有限公司100%股权。香港正和通过其全资子公司广西正和实业集团有限公司拥有正和股份6.91亿股，占正和股份股份总数的56.66%。</w:t>
      </w:r>
    </w:p>
    <w:p>
      <w:r>
        <w:t xml:space="preserve">2013年10月31日，香港中科向中国证监会提交了关于正和股份的收购报告书并申请豁免要约收购义务。考虑到难以在短期内完成整个交易，11月5日，香港中科撤回收购报告书及豁免要约收购申请。 为不触发要约收购，2013年11月11日，陈隆基、王华玉与香港中科、HUI Ling（许玲）签署《补充协议》，约定在补充协议生效后30日内，广西正和通过协议方式向其他方转让其持有的正和股份27%股份；广西正和根据补充协议的约定转让正和股份的股份后，香港中科间接拥有权益的正和股份的股份数为3.61亿股，占正和股份29.6%；股权的转让价款不变，总价款仍为35亿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雅致股份定增收购南山集团42亿地产业务"/>
      <w:bookmarkEnd w:id="60"/>
      <w:r>
        <w:t xml:space="preserve">雅致股份定增收购南山集团42亿地产业务</w:t>
      </w:r>
    </w:p>
    <w:p>
      <w:r>
        <w:t xml:space="preserve">雅致股份11月15日公告称，拟通过向控股股东南山集团定向增发股份，直接和间接收购南山集团几乎全部的房地产业务，标的评估值为42.01亿元。重组完成后，房地产将成为雅致股份最大的业务模块，与原有的集成房屋业务组成公司的两翼。</w:t>
      </w:r>
    </w:p>
    <w:p>
      <w:r>
        <w:t xml:space="preserve">重组方案显示，雅致股份拟向南山集团发行约4.68亿股，发行价格为前20个交易日股票均价，即7.42元/股，用于收购南山集团所持有南山地产100%股权；向南山集团全资公司上海南山发行约9772.06万股，发行价同样为7.42元/股，用于收购上海南山所持有上海新南山80%股权和南通南山100%股权。上述股权收购涉及总金额达到42.01亿元，其地产开发区域主要分布在珠三角、长三角和部分一线城市。</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税收"/>
      <w:bookmarkEnd w:id="63"/>
      <w:r>
        <w:t xml:space="preserve">税收</w:t>
      </w:r>
    </w:p>
    <w:p>
      <w:pPr>
        <w:pStyle w:val="Heading3"/>
      </w:pPr>
      <w:bookmarkStart w:id="64" w:name="建立事权财权相匹配的现代财政制度"/>
      <w:bookmarkEnd w:id="64"/>
      <w:r>
        <w:t xml:space="preserve">建立事权财权相匹配的现代财政制度</w:t>
      </w:r>
    </w:p>
    <w:p>
      <w:r>
        <w:t xml:space="preserve">财税体制改革是十八届三中全会讨论的重点改革议题之一。11月12日公布的十八届三中全会公报指出，必须完善立法、明确事权、改革税制、稳定税负、透明预算、提高效率，建立现代财政制度，发挥中央和地方两个积极性。要改进预算管理制度，完善税收制度，建立事权和支出责任相适应的制度。</w:t>
      </w:r>
    </w:p>
    <w:p>
      <w:r>
        <w:t xml:space="preserve">公报还指出，财政是国家治理的基础和重要支柱，科学的财税体制是优化资源配置、维护市场统一、促进社会公平、实现国家长治久安的制度保障。</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安徽将启动新一轮农村产权制度改革"/>
      <w:bookmarkEnd w:id="68"/>
      <w:r>
        <w:t xml:space="preserve">安徽将启动新一轮农村产权制度改革</w:t>
      </w:r>
    </w:p>
    <w:p>
      <w:r>
        <w:t xml:space="preserve">11月12日，安徽省政府官网发布《关于深化农村综合改革示范试点工作的指导意见》，表示在广德、宿松等20个县(区)启动农村综合改革，围绕市场主体培育、土地市场建设、集体“三资”管理、公共基础设施建管、信息和金融服务等6个方面开展试点。</w:t>
      </w:r>
    </w:p>
    <w:p>
      <w:r>
        <w:t xml:space="preserve">《意见》提到，将在试点县区构建农村集体“三资”新型经营实体。经济实体（公司）股东为全体村民，村“两委”为董事会，村党组织主要负责人或村委会主任为法定代表人，总经理可公开选聘，村务监督委员会为监事会。此举意味着，安徽农村将农村资产管理运营的新机制，未来将经确权评估的集体资产资源、集体经营收益、各级政府美好乡村建设资金、整村推进的土地收益等将成为公司资本金的主要来源，“市场”将取代“政府”成为推动农村改革的主要力量。</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1">
        <w:r>
          <w:rPr>
            <w:rStyle w:val="Link"/>
          </w:rPr>
          <w:t xml:space="preserve">unsubscribe@charltonslaw.com</w:t>
        </w:r>
      </w:hyperlink>
    </w:p>
    <w:p>
      <w:r>
        <w:rPr>
          <w:b/>
        </w:rPr>
        <w:t xml:space="preserve">易周律师行 - 法讯 - 中国 - 第382期 - 2013年11月15日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05a36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47" Target="http://caijing.chinadaily.com.cn/xfly/2013-11-09/content_10541878.html" TargetMode="External" /><Relationship Type="http://schemas.openxmlformats.org/officeDocument/2006/relationships/hyperlink" Id="rId25" Target="http://epaper.stcn.com/paper/zqsb/html/epaper/index/content_518399.htm" TargetMode="External" /><Relationship Type="http://schemas.openxmlformats.org/officeDocument/2006/relationships/hyperlink" Id="rId55" Target="http://epaper.stcn.com/paper/zqsb/html/epaper/index/content_518600.htm" TargetMode="External" /><Relationship Type="http://schemas.openxmlformats.org/officeDocument/2006/relationships/hyperlink" Id="rId34" Target="http://epaper.stcn.com/paper/zqsb/html/epaper/index/content_518616.htm" TargetMode="External" /><Relationship Type="http://schemas.openxmlformats.org/officeDocument/2006/relationships/hyperlink" Id="rId58" Target="http://epaper.stcn.com/paper/zqsb/html/epaper/index/content_518937.htm" TargetMode="External" /><Relationship Type="http://schemas.openxmlformats.org/officeDocument/2006/relationships/hyperlink" Id="rId65" Target="http://epaper.stcn.com/paper/zqsb/html/epaper/index/content_518958.htm" TargetMode="External" /><Relationship Type="http://schemas.openxmlformats.org/officeDocument/2006/relationships/hyperlink" Id="rId51" Target="http://epaper.stcn.com/paper/zqsb/html/epaper/index/content_518985.htm" TargetMode="External" /><Relationship Type="http://schemas.openxmlformats.org/officeDocument/2006/relationships/hyperlink" Id="rId37" Target="http://epaper.stcn.com/paper/zqsb/html/epaper/index/content_519130.htm" TargetMode="External" /><Relationship Type="http://schemas.openxmlformats.org/officeDocument/2006/relationships/hyperlink" Id="rId69" Target="http://epaper.stcn.com/paper/zqsb/html/epaper/index/content_519517.htm" TargetMode="External" /><Relationship Type="http://schemas.openxmlformats.org/officeDocument/2006/relationships/hyperlink" Id="rId31" Target="http://epaper.stcn.com/paper/zqsb/html/epaper/index/content_519520.htm" TargetMode="External" /><Relationship Type="http://schemas.openxmlformats.org/officeDocument/2006/relationships/hyperlink" Id="rId61" Target="http://epaper.stcn.com/paper/zqsb/html/epaper/index/content_519541.htm" TargetMode="External" /><Relationship Type="http://schemas.openxmlformats.org/officeDocument/2006/relationships/hyperlink" Id="rId44" Target="http://news.dichan.sina.com.cn/2013/11/09/938754.html" TargetMode="External" /><Relationship Type="http://schemas.openxmlformats.org/officeDocument/2006/relationships/hyperlink" Id="rId28" Target="http://stock.sohu.com/20131109/n389842470.shtml" TargetMode="External" /><Relationship Type="http://schemas.openxmlformats.org/officeDocument/2006/relationships/hyperlink" Id="rId21" Target="http://www.charltonslaw.com.cn/china-news-alerts-cn-issue-382/" TargetMode="External" /><Relationship Type="http://schemas.openxmlformats.org/officeDocument/2006/relationships/hyperlink" Id="rId40" Target="http://www.chinaclear.cn/zdjs/editor_file/20131112142231117.pdf" TargetMode="External" /><Relationship Type="http://schemas.openxmlformats.org/officeDocument/2006/relationships/hyperlink" Id="rId7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47" Target="http://caijing.chinadaily.com.cn/xfly/2013-11-09/content_10541878.html" TargetMode="External" /><Relationship Type="http://schemas.openxmlformats.org/officeDocument/2006/relationships/hyperlink" Id="rId25" Target="http://epaper.stcn.com/paper/zqsb/html/epaper/index/content_518399.htm" TargetMode="External" /><Relationship Type="http://schemas.openxmlformats.org/officeDocument/2006/relationships/hyperlink" Id="rId55" Target="http://epaper.stcn.com/paper/zqsb/html/epaper/index/content_518600.htm" TargetMode="External" /><Relationship Type="http://schemas.openxmlformats.org/officeDocument/2006/relationships/hyperlink" Id="rId34" Target="http://epaper.stcn.com/paper/zqsb/html/epaper/index/content_518616.htm" TargetMode="External" /><Relationship Type="http://schemas.openxmlformats.org/officeDocument/2006/relationships/hyperlink" Id="rId58" Target="http://epaper.stcn.com/paper/zqsb/html/epaper/index/content_518937.htm" TargetMode="External" /><Relationship Type="http://schemas.openxmlformats.org/officeDocument/2006/relationships/hyperlink" Id="rId65" Target="http://epaper.stcn.com/paper/zqsb/html/epaper/index/content_518958.htm" TargetMode="External" /><Relationship Type="http://schemas.openxmlformats.org/officeDocument/2006/relationships/hyperlink" Id="rId51" Target="http://epaper.stcn.com/paper/zqsb/html/epaper/index/content_518985.htm" TargetMode="External" /><Relationship Type="http://schemas.openxmlformats.org/officeDocument/2006/relationships/hyperlink" Id="rId37" Target="http://epaper.stcn.com/paper/zqsb/html/epaper/index/content_519130.htm" TargetMode="External" /><Relationship Type="http://schemas.openxmlformats.org/officeDocument/2006/relationships/hyperlink" Id="rId69" Target="http://epaper.stcn.com/paper/zqsb/html/epaper/index/content_519517.htm" TargetMode="External" /><Relationship Type="http://schemas.openxmlformats.org/officeDocument/2006/relationships/hyperlink" Id="rId31" Target="http://epaper.stcn.com/paper/zqsb/html/epaper/index/content_519520.htm" TargetMode="External" /><Relationship Type="http://schemas.openxmlformats.org/officeDocument/2006/relationships/hyperlink" Id="rId61" Target="http://epaper.stcn.com/paper/zqsb/html/epaper/index/content_519541.htm" TargetMode="External" /><Relationship Type="http://schemas.openxmlformats.org/officeDocument/2006/relationships/hyperlink" Id="rId44" Target="http://news.dichan.sina.com.cn/2013/11/09/938754.html" TargetMode="External" /><Relationship Type="http://schemas.openxmlformats.org/officeDocument/2006/relationships/hyperlink" Id="rId28" Target="http://stock.sohu.com/20131109/n389842470.shtml" TargetMode="External" /><Relationship Type="http://schemas.openxmlformats.org/officeDocument/2006/relationships/hyperlink" Id="rId21" Target="http://www.charltonslaw.com.cn/china-news-alerts-cn-issue-382/" TargetMode="External" /><Relationship Type="http://schemas.openxmlformats.org/officeDocument/2006/relationships/hyperlink" Id="rId40" Target="http://www.chinaclear.cn/zdjs/editor_file/20131112142231117.pdf" TargetMode="External" /><Relationship Type="http://schemas.openxmlformats.org/officeDocument/2006/relationships/hyperlink" Id="rId7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第382期 - 2013年11月15日</dc:title>
  <dc:creator/>
</cp:coreProperties>
</file>