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第383期</w:t>
      </w:r>
      <w:r>
        <w:t xml:space="preserve"> </w:t>
      </w:r>
      <w:r>
        <w:t xml:space="preserve">-</w:t>
      </w:r>
      <w:r>
        <w:t xml:space="preserve"> </w:t>
      </w:r>
      <w:r>
        <w:t xml:space="preserve">2013年11月25日</w:t>
      </w:r>
    </w:p>
    <w:p>
      <w:hyperlink r:id="rId21">
        <w:r>
          <w:rPr>
            <w:rStyle w:val="Link"/>
          </w:rPr>
          <w:t xml:space="preserve">网络版</w:t>
        </w:r>
      </w:hyperlink>
    </w:p>
    <w:p>
      <w:pPr>
        <w:pStyle w:val="Heading1"/>
      </w:pPr>
      <w:bookmarkStart w:id="22" w:name="法讯中国第383期"/>
      <w:bookmarkEnd w:id="22"/>
      <w:r>
        <w:t xml:space="preserve">法讯中国第383期</w:t>
      </w:r>
    </w:p>
    <w:p>
      <w:pPr>
        <w:pStyle w:val="Heading2"/>
      </w:pPr>
      <w:bookmarkStart w:id="23" w:name="资本市场"/>
      <w:bookmarkEnd w:id="23"/>
      <w:r>
        <w:t xml:space="preserve">资本市场</w:t>
      </w:r>
    </w:p>
    <w:p>
      <w:pPr>
        <w:pStyle w:val="Heading3"/>
      </w:pPr>
      <w:bookmarkStart w:id="24" w:name="香港金发局提21条加快离岸人民币中心建设"/>
      <w:bookmarkEnd w:id="24"/>
      <w:r>
        <w:t xml:space="preserve">香港金发局提21条加快离岸人民币中心建设</w:t>
      </w:r>
    </w:p>
    <w:p>
      <w:r>
        <w:t xml:space="preserve">香港金融发展局11月18日首次发表6份研究报告，包括就加快建设香港离岸人民币中心、巩固香港作为全球主要国际金融中心地位提出建议。</w:t>
      </w:r>
    </w:p>
    <w:p>
      <w:r>
        <w:t xml:space="preserve">在香港金发局昨日发表的6份研究报告中，其中一份关于加快建设香港离岸人民币中心的报告指出，香港离岸人民币市场的规模、产品及国际使用程度仍属刚起步阶段，人民币80%的外汇交易、98%的人民币债券余额以及99%的存款都是在内地进行，这相比起已国际化的美元——其三分之二的外汇交易、30%的存款及10%债券余额均在境外，反映香港的离岸人民币市场还有巨大发展空间。</w:t>
      </w:r>
    </w:p>
    <w:p>
      <w:r>
        <w:t xml:space="preserve">此外，香港金发局的报告还从三大方面提出21项建议，希望从政策层面减少障碍、拓宽香港人民币离岸市场的建设路径，所涉及内容包括：建议香港特区政府向内地提出允许在深圳前海试行QDII3（前海合格境内机构投资者计划），以500亿元人民币及50亿美元额度为试点，准许当地所有金融机构，包括银行、券商、基金及保险公司等投资境外，以期提高香港的人民币流动性；建议同一母行下的分支机构之间可提供跨境人民币贷款；香港可向内地建议允许境外企业在内地发行人民币债券及大额存款证，并在获批的外币额度中可选择以人民币方式汇走资金；建议对于合格境内个人投资者制度(QDII2)，可从政策上鼓励资金进入香港的人民币计价的现货及期货交易，并落实将人民币合格境外机构投资者（RQFII）额度扩大到所有香港注册的金融机构；针对特区政府或本地金融业界，报告建议积极向中央争取放宽个人每日兑换及汇款限制，并组织金发局、金管局及金融业界到巴西、印度及俄罗斯等高通胀、高利率新兴市场推介在香港人民币离岸市场，进行第三方融资的优势及具体操作。报告还建议，香港金融业界协助港交所利用伦敦金属交易所（LME）平台推出人民币计价及结算的贵金属期货合约，例如黄金及白银相关产品等，并争取LME在港设立商品期货结算中心。</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多家香港金融机构-推出rqfii产品"/>
      <w:bookmarkEnd w:id="27"/>
      <w:r>
        <w:t xml:space="preserve">多家香港金融机构 推出RQFII产品</w:t>
      </w:r>
    </w:p>
    <w:p>
      <w:r>
        <w:t xml:space="preserve">在国家大力推进人民币国际化下，多家香港金融机构获得人民币合格境外机构投资者（RQFII）资格，并相继推出RQFII产品。昨日，广发国际以及上投摩根分别宣布推出ＲＱＦＩＩ产品。</w:t>
      </w:r>
    </w:p>
    <w:p>
      <w:r>
        <w:t xml:space="preserve">广发基金香港子公司——广发国际资产管理有限公司11月18日宣布，广发国际中国RQFII债券基金在香港的首次发售期为11月18日至12月6日，主要投资于在中国境内可供投资的固定收益证券。</w:t>
      </w:r>
    </w:p>
    <w:p>
      <w:r>
        <w:t xml:space="preserve">同日，上投摩根资产管理（香港）公司也表示，首次推出股债混合型的人民币合格境外机构投资者基金，投资资产不多于20%于A股市场及不少于80%于债券市场，以提供灵活配置。该基金设有人民币和港元双币买卖，于11月18日至12月6日公开发售，拟每季派息。</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肖钢注册制需要一系列配套改革"/>
      <w:bookmarkEnd w:id="30"/>
      <w:r>
        <w:t xml:space="preserve">肖钢：注册制需要一系列配套改革</w:t>
      </w:r>
    </w:p>
    <w:p>
      <w:r>
        <w:t xml:space="preserve">在11月19日举行的“《财经》年会2014：预测与战略”上，中国证监会主席肖钢履新以来首度公开亮相。肖钢指出，股票发行注册制改革是一项重大改革，是还权于市场，还权于投资者的一个根本举措。但是，需要一个循序渐进的过程，还需要其他方面的配套改革。肖钢说，今后要进一步扩大开放，推进资本市场的双向开放，推进资本市场的国际化，不过他特别澄清，并没有打算现在就开国际板，现在开国际板的条件还不成熟。</w:t>
      </w:r>
    </w:p>
    <w:p>
      <w:r>
        <w:t xml:space="preserve">肖钢说，通过多层次的资本市场体系才能够适应不同的融资者需求，才能够满足不同的，或者叫做多元化的投资者需求，把更多的储蓄转化为资本，减轻债务率，或者叫杠杆率，增加资本，这样就会更好地服务于经济社会转型和持续健康发展。“我本人对资本市场未来的发展充满信心，要做的事情确实太多了。”</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上期所启动期权仿真交易"/>
      <w:bookmarkEnd w:id="33"/>
      <w:r>
        <w:t xml:space="preserve">上期所启动期权仿真交易</w:t>
      </w:r>
    </w:p>
    <w:p>
      <w:r>
        <w:t xml:space="preserve">11月19日起，上海期货交易所将启动商品期货期权仿真交易，此次仿真交易面向全市场开放，仿真交易的品种为铜期货期权和黄金期货期权。</w:t>
      </w:r>
    </w:p>
    <w:p>
      <w:r>
        <w:t xml:space="preserve">据了解，上期所此次开展的期权仿真交易前期已获得证监会的批准。此次仿真交易旨在为会员和投资者提供一个期权交易实践的平台，通过仿真交易，使各类投资者能够深入地理解上期所的期权业务规则，掌握相关的投资策略，正确认识期货期权市场。同时，也希望通过仿真交易，进一步完善上期所的相关业务规则，积累期权相关的风控经验。</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中金所细化国债期货交割申报规则"/>
      <w:bookmarkEnd w:id="36"/>
      <w:r>
        <w:t xml:space="preserve">中金所细化国债期货交割申报规则</w:t>
      </w:r>
    </w:p>
    <w:p>
      <w:r>
        <w:t xml:space="preserve">11月19日，中金所发布《关于国债期货交割申报相关事项的通知》，国债期货交割规则进一步细化。</w:t>
      </w:r>
    </w:p>
    <w:p>
      <w:r>
        <w:t xml:space="preserve">《通知》称，参与国债期货交割的客户应当预先通过会员向交易所申报国债托管账户。客户可用在中央国债登记结算有限责任公司（以下简称中央结算）的债券账户和在中国证券登记结算有限责任公司（以下简称中国结算）的A股证券账户作为参与国债期货交割的国债托管账户。以在中央结算开立的债券账户参与交割的，客户应当按照中央结算的有关规定预先申请开通该账户的国债期货交割业务。自2013年11月26日起，交易所开始受理国债托管账户申报。</w:t>
      </w:r>
    </w:p>
    <w:p>
      <w:r>
        <w:t xml:space="preserve">根据《通知》，最后交易日之前申请交割的，全面结算会员应当在意向申报日的14:00-15:15对其代理结算的交易会员当日申报的买方和卖方交割意向进行审核，全面结算会员未在规定时间内进行审核的，视为审核不通过。</w:t>
      </w:r>
    </w:p>
    <w:p>
      <w:r>
        <w:t xml:space="preserve">《通知》还要求，卖方客户应当确保交券的国债托管账户中有数量足够、无其他债务担保事项、无其他权利瑕疵的可交割国债。卖方客户以在中国结算的国债托管账户交券的，交易所在交券日前一交易日，将待划转国债信息通过中国结算转发给相应的证券公司或者托管银行。</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中国人民银行与马来西亚央行签署跨境抵押安排谅解备忘录"/>
      <w:bookmarkEnd w:id="39"/>
      <w:r>
        <w:t xml:space="preserve">中国人民银行与马来西亚央行签署跨境抵押安排谅解备忘录</w:t>
      </w:r>
    </w:p>
    <w:p>
      <w:r>
        <w:t xml:space="preserve">2013年11月18日，中国人民银行行长周小川与马来西亚央行行长洁蒂•阿齐兹在该行北京代表处开业之际签署了谅解备忘录，建立为金融机构提供流动性的跨境抵押安排，这一安排有利于深化两国金融合作，增强市场信心，维护地区金融稳定。</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财政部顺利在港招标发行70亿元人民币国债"/>
      <w:bookmarkEnd w:id="42"/>
      <w:r>
        <w:t xml:space="preserve">财政部顺利在港招标发行70亿元人民币国债</w:t>
      </w:r>
    </w:p>
    <w:p>
      <w:r>
        <w:t xml:space="preserve">11月21日，财政部在香港面向机构投资者招标发行70亿元人民币国债，包括3年期50亿元和5年期20亿元，中标利率分别为2.60%和3.09%。</w:t>
      </w:r>
    </w:p>
    <w:p>
      <w:r>
        <w:t xml:space="preserve">此次人民币国债发行金额为100亿元，除已经发行的70亿元外，财政部还将向香港居民发行30亿元2年期国债，票面利率为2.80%。11月22日至12月5日，香港居民可通过配售银行、证券经纪及香港中央结算有限公司进行认购。</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行业"/>
      <w:bookmarkEnd w:id="45"/>
      <w:r>
        <w:t xml:space="preserve">行业</w:t>
      </w:r>
    </w:p>
    <w:p>
      <w:pPr>
        <w:pStyle w:val="Heading3"/>
      </w:pPr>
      <w:bookmarkStart w:id="46" w:name="化解钢铁过剩产能细则落地"/>
      <w:bookmarkEnd w:id="46"/>
      <w:r>
        <w:t xml:space="preserve">化解钢铁过剩产能细则落地</w:t>
      </w:r>
    </w:p>
    <w:p>
      <w:r>
        <w:t xml:space="preserve">发改委、工信部和中钢协在日前举行的钢铁行业贯彻落实国务院《关于化解产能严重过剩矛盾的指导意见》会议上提出，将加强钢铁行业规范管理，坚决抑制新增产能投资，严禁新增产能项目，并把河北等六个重点地区的结构调整工作作为化解工作的重点。</w:t>
      </w:r>
    </w:p>
    <w:p>
      <w:r>
        <w:t xml:space="preserve">工信部将开展7项工作抓好化解产能矛盾工作。工信部原材料司副司长苗治民在会议上表示，一是坚决遏制产能盲目扩张，妥善处理违规产能；二是加强钢铁行业的规范管理，在已经出台的《钢铁行业规范条件》的基础上，研究制定《钢铁行业规范企业管理办法》、《钢铁行业规范条件实施导则》；三是推动钢铁产品的升级换代，加大高强钢筋、钢结构等高性能钢材的推广应用；四是推进企业的兼并重组和重点地区的转型升级；五是做好淘汰落后和落后产能的退出工作；六是引导产业合理转移，支持钢铁企业“走出去”；七是发挥规划政策标准的约束作用，完善行业管理。苗治民指出，要加强各方合作形成合力，共同推进贯彻落实。</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并购"/>
      <w:bookmarkEnd w:id="49"/>
      <w:r>
        <w:t xml:space="preserve">并购</w:t>
      </w:r>
    </w:p>
    <w:p>
      <w:pPr>
        <w:pStyle w:val="Heading3"/>
      </w:pPr>
      <w:bookmarkStart w:id="50" w:name="宏源与申万签署资产重组意向书"/>
      <w:bookmarkEnd w:id="50"/>
      <w:r>
        <w:t xml:space="preserve">宏源与申万签署资产重组意向书</w:t>
      </w:r>
    </w:p>
    <w:p>
      <w:r>
        <w:t xml:space="preserve">宏源证券11月20日公告称，11月18日该公司与申银万国签署了资产重组意向书。双方约定保密义务并同意共同推进重大资产重组。目前重组事项的相关工作正有序展开，公司股票将继续停牌。</w:t>
      </w:r>
    </w:p>
    <w:p>
      <w:r>
        <w:t xml:space="preserve">根据2012年度证券公司总资产排名表统计，宏源证券、申银万国合并后，总资产规模将挤进业内前五。2012年度申银万国以491.8亿元的总资产位列行业第10位，而宏源证券以298.7亿元列第15位。这两家券商合并后，总资产将接近800亿元，仅次于中信证券、海通证券、国泰君安和广发证券。</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利亚德-收购金达照明100股权"/>
      <w:bookmarkEnd w:id="53"/>
      <w:r>
        <w:t xml:space="preserve">利亚德 收购金达照明100%股权</w:t>
      </w:r>
    </w:p>
    <w:p>
      <w:r>
        <w:t xml:space="preserve">利亚德11月22日公告，将通过发行股份和支付现金的方式，购买张志清等10名交易对方合计持有的深圳市金达照明股份有限公司100%股份，并募集配套资金。</w:t>
      </w:r>
    </w:p>
    <w:p>
      <w:r>
        <w:t xml:space="preserve">11月20日晚间，利亚德刚刚公告并购北京互联亿达科技有限公司股东所持有的100%股权，后者为广播电视行业显示及控制的系统集成商。</w:t>
      </w:r>
    </w:p>
    <w:p>
      <w:r>
        <w:t xml:space="preserve">交易前，利亚德未持有金达照明的股份，交易完成后金达照明将成为利亚德的全资子公司。利亚德称，发行价格为19.95元/股，各方确认发行的股份总数约为761万股。在募集配套资金方面，以发行价格下限 17.95元/股计算，利亚德向其他不超过10名特定投资者发行股份数量不超过376万股。</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2"/>
      </w:pPr>
      <w:bookmarkStart w:id="56" w:name="税收"/>
      <w:bookmarkEnd w:id="56"/>
      <w:r>
        <w:t xml:space="preserve">税收</w:t>
      </w:r>
    </w:p>
    <w:p>
      <w:pPr>
        <w:pStyle w:val="Heading3"/>
      </w:pPr>
      <w:bookmarkStart w:id="57" w:name="财政部清理税收洼地不再出区域优惠政策"/>
      <w:bookmarkEnd w:id="57"/>
      <w:r>
        <w:t xml:space="preserve">财政部清理“税收洼地”不再出区域优惠政策</w:t>
      </w:r>
    </w:p>
    <w:p>
      <w:r>
        <w:t xml:space="preserve">11月21日，财政部网站刊发以《消除机制体制弊端 建立现代财政制度》为题的文章，财政部部长楼继伟在详解深化财税体制改革思路时表示，一些地方政府和财税部门执法不严，通过税收返还等方式变相减免税，制造“税收洼地”，严重影响了国家税制规范和市场公平竞争，必须下大力气清理整顿，今后原则上不再出台新的区域税收优惠政策。</w:t>
      </w:r>
    </w:p>
    <w:p>
      <w:r>
        <w:t xml:space="preserve">十八届三中全会《决定》明确提出，要加强对税收优惠特别是区域税收优惠政策的规范管理。据了解，这些税收优惠政策形成原因较多，其中地方为招商引资作出政策倾斜是原因之一。从政策实施效果看，这些区域性税收政策在协调区域经济发展，缩小区域经济差距方面起到了一定作用。</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房地产"/>
      <w:bookmarkEnd w:id="60"/>
      <w:r>
        <w:t xml:space="preserve">房地产</w:t>
      </w:r>
    </w:p>
    <w:p>
      <w:pPr>
        <w:pStyle w:val="Heading3"/>
      </w:pPr>
      <w:bookmarkStart w:id="61" w:name="广州加大楼市调控力度"/>
      <w:bookmarkEnd w:id="61"/>
      <w:r>
        <w:t xml:space="preserve">广州加大楼市调控力度</w:t>
      </w:r>
    </w:p>
    <w:p>
      <w:r>
        <w:t xml:space="preserve">广州市国土部门日前宣布加大楼市调控力度，至此，内地四大一线城市对楼市调控已全线收紧，在港上市的内房股板块因此受压。</w:t>
      </w:r>
    </w:p>
    <w:p>
      <w:r>
        <w:t xml:space="preserve">广州国土资源和房屋管理局日前公布《关于进一步做好房地产市场调控工作的意见》，具体措施包括：加快对中低价位商品住房的预售审批；严格执行限购政策；进一步提高第二套住房贷款的首付比例，对贷款购买第二套住房的家庭要求首付款比例不得低于70%；对不接受政府价格指导的项目暂不核发预售许可证等。</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深圳首宗农地入市-1.16亿挂牌"/>
      <w:bookmarkEnd w:id="64"/>
      <w:r>
        <w:t xml:space="preserve">深圳首宗农地入市 1.16亿挂牌</w:t>
      </w:r>
    </w:p>
    <w:p>
      <w:r>
        <w:t xml:space="preserve">11月21日，深圳首宗“农地”正式挂牌，该宗地块将在12月20日拍卖，地块出让底价为1.16亿元。</w:t>
      </w:r>
    </w:p>
    <w:p>
      <w:r>
        <w:t xml:space="preserve">公开资料显示，该地块占地面积为1.45万平方米，总建筑面积为6.99万平方米，位于深圳市福永街道凤凰社区，此片土地是凤凰社区的闲置土地，土地性质为工业用地（新型产业用地），准入产业类别为新一代信息技术通信终端设备制造业。根据土地出让规定，该地块70%的成交价款作为政府收益，由竞得人支付至市国土基金账户，30%的成交价款作为凤凰社区收益。</w:t>
      </w:r>
    </w:p>
    <w:p>
      <w:r>
        <w:t xml:space="preserve">今年1月18日，深圳市发布的《关于优化空间资源配置促进产业转型升级的意见》及其六个配套文件中，允许原农村集体经济组织工业用地进入市场流通。</w:t>
      </w:r>
    </w:p>
    <w:p>
      <w:r>
        <w:t xml:space="preserve">同时，在《中共中央关于全面深化改革若干重大问题的决定》中亦提出“建立城乡统一的建设用地市场”。在符合规划和用途管制前提下，允许农村集体经营性建设用地出让、租赁、入股，实行与国有土地同等入市、同权同价。</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wto"/>
      <w:bookmarkEnd w:id="67"/>
      <w:r>
        <w:t xml:space="preserve">WTO</w:t>
      </w:r>
    </w:p>
    <w:p>
      <w:pPr>
        <w:pStyle w:val="Heading3"/>
      </w:pPr>
      <w:bookmarkStart w:id="68" w:name="商务部公布对原产于日本和台湾地区的进口甲乙酮反倾销期终复审裁定"/>
      <w:bookmarkEnd w:id="68"/>
      <w:r>
        <w:t xml:space="preserve">商务部公布对原产于日本和台湾地区的进口甲乙酮反倾销期终复审裁定</w:t>
      </w:r>
    </w:p>
    <w:p>
      <w:r>
        <w:t xml:space="preserve">11月20日，商务部发布2013年第65号公告，公布对原产于日本和台湾地区的进口甲乙酮反倾销期终复审裁定。</w:t>
      </w:r>
    </w:p>
    <w:p>
      <w:r>
        <w:t xml:space="preserve">商务部于2007年11月21日发布该年度第81号公告，决定对原产于日本、台湾地区和新加坡的进口甲乙酮征收反倾销税，实施期限为自2007年11月22日起5年。商务部于2012年11月21日发布该年度第69号公告，决定对原产于日本和台湾地区的进口甲乙酮所适用的反倾销措施进行期终复审调查，自2012年11月22日起，终止对原产于新加坡的进口甲乙酮征收反倾销税。</w:t>
      </w:r>
    </w:p>
    <w:p>
      <w:r>
        <w:t xml:space="preserve">经调查，商务部认为，如果终止原反倾销措施，原产于日本和台湾地区的进口甲乙酮对中国大陆的倾销可能继续发生，进口被调查产品对中国大陆甲乙酮产业造成的损害有可能再度发生。根据《中华人民共和国反倾销条例》有关规定，国务院关税税则委员会决定自2013年11月21日起，继续对原产于日本和台湾地区的进口甲乙酮实施反倾销措施，实施期限为5年。进口经营者在进口原产于日本和台湾地区的甲乙酮时，应向中国海关缴纳相应的反倾销税。该产品归在《中华人民共和国进出口税则》税则号：29141200。</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商务部终裁决定对原产于印度和日本的进口吡啶征收反倾销税"/>
      <w:bookmarkEnd w:id="71"/>
      <w:r>
        <w:t xml:space="preserve">商务部终裁决定对原产于印度和日本的进口吡啶征收反倾销税</w:t>
      </w:r>
    </w:p>
    <w:p>
      <w:r>
        <w:t xml:space="preserve">11月20日，商务部发布2013年第73号公告，终裁决定自2013年11月21日起，对原产于印度和日本的进口吡啶征收反倾销税，实施期限为5年。</w:t>
      </w:r>
    </w:p>
    <w:p>
      <w:r>
        <w:t xml:space="preserve">公告称，经调查，商务部最终裁定，在本案调查期内，原产于印度和日本的进口吡啶产品存在倾销，中国国内吡啶产业受到实质损害，且倾销与实质损害之间存在因果关系。根据《中华人民共和国反倾销条例》有关规定，经商务部建议，国务院关税税则委员会决定，自2013年11月21日起, 对上述产品征收反倾销税。进口经营者在进口上述产品时，应依据公告中列明的各公司税率向中国海关缴纳反倾销税。该产品归在《中华人民共和国进出口税则》：29333100。</w:t>
      </w:r>
    </w:p>
    <w:p>
      <w:r>
        <w:t xml:space="preserve">应国内产业的申请，商务部于2012年9月21日正式对原产于印度和日本的进口吡啶产品进行反倾销立案调查，并于2013年5月27日初裁决定对上述产品采取临时反倾销措施。</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2"/>
      </w:pPr>
      <w:bookmarkStart w:id="74" w:name="其他"/>
      <w:bookmarkEnd w:id="74"/>
      <w:r>
        <w:t xml:space="preserve">其他</w:t>
      </w:r>
    </w:p>
    <w:p>
      <w:pPr>
        <w:pStyle w:val="Heading3"/>
      </w:pPr>
      <w:bookmarkStart w:id="75" w:name="上海家化陷关联交易风波"/>
      <w:bookmarkEnd w:id="75"/>
      <w:r>
        <w:t xml:space="preserve">上海家化陷关联交易风波</w:t>
      </w:r>
    </w:p>
    <w:p>
      <w:r>
        <w:t xml:space="preserve">上海家化11月20日晚间发布公告，公司收到证监会《调查通知书》，因涉嫌未按照规定披露信息，证监会决定对公司立案稽查。同日，上海家化收到上海证监局《关于对上海家化联合股份有限公司采取责令改正措施的决定》。</w:t>
      </w:r>
    </w:p>
    <w:p>
      <w:r>
        <w:t xml:space="preserve">上海证监局在来函中表示，2008年4月至2013年7月，上海家化与吴江市黎里沪江日用化学品厂发生采购销售、资金拆借等关联交易，在相应年报中，公司未能对关联方沪江日化及与其发生的关联交易进行披露，同时也未对与上述关联交易进行审议并公告。此外，在2009年，上海家化也未对与沪江日化发生的累计3000万元资金拆借关联交易进行临时公告披露。</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Heading3"/>
      </w:pPr>
      <w:bookmarkStart w:id="78" w:name="海南椰岛限售股转让遭征税-将申请行政复议"/>
      <w:bookmarkEnd w:id="78"/>
      <w:r>
        <w:t xml:space="preserve">海南椰岛限售股转让遭征税 将申请行政复议</w:t>
      </w:r>
    </w:p>
    <w:p>
      <w:r>
        <w:t xml:space="preserve">海南椰岛11月22日公告，11月19日，收到海南省地方税务局稽查局《税务处理决定书》和《税务行政处罚事项告知书》，需累计补交各项税费2219万元。同时，海南椰岛还需要上交滞纳金1153万元（其中出售小非少缴税款加收滞纳金1116万元），以及罚款40.6万元。</w:t>
      </w:r>
    </w:p>
    <w:p>
      <w:r>
        <w:t xml:space="preserve">需补交税费中的约90%部分，来自于2009年~2011年间，海南椰岛出售三安光电小非收益应缴纳的营业税。税务局认为，根据《营业税暂行条例》第五条第四项的有关规定，海南椰岛按原始成本计算所获收益应缴纳营业税1941万元、附加税费198万元，合计2140万元。</w:t>
      </w:r>
    </w:p>
    <w:p>
      <w:r>
        <w:t xml:space="preserve">海南椰岛认为，由于大小非在解禁前不能流通的特殊性，解禁后出售与在二级市场买卖股票不同，不完全适用《营业税暂行条例》的相关规定，目前国家没有明确的政策规定，海南省也没有明确的政策规定。部分省市税务机关在官方网站上曾发布对大小非解禁出售在国家税务总局明确前暂不征收营业税，这也是海南椰岛与当地税务部门沟通的诉求。</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恒天海龙-前高管受处罚"/>
      <w:bookmarkEnd w:id="81"/>
      <w:r>
        <w:t xml:space="preserve">恒天海龙 前高管受处罚</w:t>
      </w:r>
    </w:p>
    <w:p>
      <w:r>
        <w:t xml:space="preserve">恒天海龙（原为山东海龙）11月22日公告，公司收到证监会下发的《行政处罚决定书》与《市场禁入决定书》，针对公司2009年至2011年6月期间发生的重大担保事项未履行临时报告披露义务及未披露关联方及关联交易等行为进行了处罚。对前任董事长逄奉建及前任副董事长王利民分别处以30万、15万元罚款，对其他前高管也给予5万元、3万元等处罚。</w:t>
      </w:r>
    </w:p>
    <w:p>
      <w:r>
        <w:t xml:space="preserve">同时证监会认定逄奉建为证券市场禁入者，10年内不得从事证券业务或担任上市公司董事、监事或高级管理人员职务；认定王利民为证券市场禁入者，5年内不得从事证券业务或者担任上市公司董事、监事、高级管理人员职务。</w:t>
      </w:r>
    </w:p>
    <w:p>
      <w:r>
        <w:t xml:space="preserve">证监会调查认定，恒天海龙在相当长一段时间内，与巨龙化纤的董事、高管重合，双方为关联关系，恒天海龙未作披露，而恒天海龙为巨龙化纤垫付职工工资、社会保险等，并向其支付其他款项。</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4">
        <w:r>
          <w:rPr>
            <w:rStyle w:val="Link"/>
          </w:rPr>
          <w:t xml:space="preserve">unsubscribe@charltonslaw.com</w:t>
        </w:r>
      </w:hyperlink>
    </w:p>
    <w:p>
      <w:r>
        <w:rPr>
          <w:b/>
        </w:rPr>
        <w:t xml:space="preserve">易周律师行 - 法讯 - 中国 - 第383期 - 2013年11月25日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74fc9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7" Target="16.pdf" TargetMode="External" /><Relationship Type="http://schemas.openxmlformats.org/officeDocument/2006/relationships/hyperlink" Id="rId80" Target="17.pdf" TargetMode="External" /><Relationship Type="http://schemas.openxmlformats.org/officeDocument/2006/relationships/hyperlink" Id="rId83" Target="18.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25" Target="http://epaper.stcn.com/paper/zqsb/html/epaper/index/content_520252.htm" TargetMode="External" /><Relationship Type="http://schemas.openxmlformats.org/officeDocument/2006/relationships/hyperlink" Id="rId28" Target="http://epaper.stcn.com/paper/zqsb/html/epaper/index/content_520255.htm" TargetMode="External" /><Relationship Type="http://schemas.openxmlformats.org/officeDocument/2006/relationships/hyperlink" Id="rId34" Target="http://epaper.stcn.com/paper/zqsb/html/epaper/index/content_520466.htm" TargetMode="External" /><Relationship Type="http://schemas.openxmlformats.org/officeDocument/2006/relationships/hyperlink" Id="rId47" Target="http://epaper.stcn.com/paper/zqsb/html/epaper/index/content_520592.htm" TargetMode="External" /><Relationship Type="http://schemas.openxmlformats.org/officeDocument/2006/relationships/hyperlink" Id="rId62" Target="http://epaper.stcn.com/paper/zqsb/html/epaper/index/content_520603.htm" TargetMode="External" /><Relationship Type="http://schemas.openxmlformats.org/officeDocument/2006/relationships/hyperlink" Id="rId51" Target="http://epaper.stcn.com/paper/zqsb/html/epaper/index/content_520682.htm" TargetMode="External" /><Relationship Type="http://schemas.openxmlformats.org/officeDocument/2006/relationships/hyperlink" Id="rId76" Target="http://epaper.stcn.com/paper/zqsb/html/epaper/index/content_520995.htm" TargetMode="External" /><Relationship Type="http://schemas.openxmlformats.org/officeDocument/2006/relationships/hyperlink" Id="rId65" Target="http://epaper.stcn.com/paper/zqsb/html/epaper/index/content_521055.htm" TargetMode="External" /><Relationship Type="http://schemas.openxmlformats.org/officeDocument/2006/relationships/hyperlink" Id="rId79" Target="http://epaper.stcn.com/paper/zqsb/html/epaper/index/content_521059.htm" TargetMode="External" /><Relationship Type="http://schemas.openxmlformats.org/officeDocument/2006/relationships/hyperlink" Id="rId54" Target="http://epaper.stcn.com/paper/zqsb/html/epaper/index/content_521060.htm" TargetMode="External" /><Relationship Type="http://schemas.openxmlformats.org/officeDocument/2006/relationships/hyperlink" Id="rId82" Target="http://epaper.stcn.com/paper/zqsb/html/epaper/index/content_521078.htm" TargetMode="External" /><Relationship Type="http://schemas.openxmlformats.org/officeDocument/2006/relationships/hyperlink" Id="rId37" Target="http://www.cffex.com.cn/tzgg/jysgg/201311/t20131119_17429.html" TargetMode="External" /><Relationship Type="http://schemas.openxmlformats.org/officeDocument/2006/relationships/hyperlink" Id="rId21" Target="http://www.charltonslaw.com.cn/china-news-alerts-cn-issue-383/" TargetMode="External" /><Relationship Type="http://schemas.openxmlformats.org/officeDocument/2006/relationships/hyperlink" Id="rId31" Target="http://www.csrc.gov.cn/pub/newsite/bgt/xwdd/201311/t20131119_238569.htm" TargetMode="External" /><Relationship Type="http://schemas.openxmlformats.org/officeDocument/2006/relationships/hyperlink" Id="rId43" Target="http://www.mof.gov.cn/zhengwuxinxi/caizhengxinwen/201311/t20131121_1014563.html" TargetMode="External" /><Relationship Type="http://schemas.openxmlformats.org/officeDocument/2006/relationships/hyperlink" Id="rId58" Target="http://www.mof.gov.cn/zhuantihuigu/cztz/mtbdljw/201311/t20131121_1014349.html" TargetMode="External" /><Relationship Type="http://schemas.openxmlformats.org/officeDocument/2006/relationships/hyperlink" Id="rId69" Target="http://www.mofcom.gov.cn/article/ae/ai/201311/20131100397126.shtml" TargetMode="External" /><Relationship Type="http://schemas.openxmlformats.org/officeDocument/2006/relationships/hyperlink" Id="rId72" Target="http://www.mofcom.gov.cn/article/ae/ai/201311/20131100397131.shtml" TargetMode="External" /><Relationship Type="http://schemas.openxmlformats.org/officeDocument/2006/relationships/hyperlink" Id="rId40" Target="http://www.pbc.gov.cn/publish/goutongjiaoliu/524/2013/20131118175651511115732/20131118175651511115732_.html" TargetMode="External" /><Relationship Type="http://schemas.openxmlformats.org/officeDocument/2006/relationships/hyperlink" Id="rId8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3" Target="15.pdf" TargetMode="External" /><Relationship Type="http://schemas.openxmlformats.org/officeDocument/2006/relationships/hyperlink" Id="rId77" Target="16.pdf" TargetMode="External" /><Relationship Type="http://schemas.openxmlformats.org/officeDocument/2006/relationships/hyperlink" Id="rId80" Target="17.pdf" TargetMode="External" /><Relationship Type="http://schemas.openxmlformats.org/officeDocument/2006/relationships/hyperlink" Id="rId83" Target="18.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25" Target="http://epaper.stcn.com/paper/zqsb/html/epaper/index/content_520252.htm" TargetMode="External" /><Relationship Type="http://schemas.openxmlformats.org/officeDocument/2006/relationships/hyperlink" Id="rId28" Target="http://epaper.stcn.com/paper/zqsb/html/epaper/index/content_520255.htm" TargetMode="External" /><Relationship Type="http://schemas.openxmlformats.org/officeDocument/2006/relationships/hyperlink" Id="rId34" Target="http://epaper.stcn.com/paper/zqsb/html/epaper/index/content_520466.htm" TargetMode="External" /><Relationship Type="http://schemas.openxmlformats.org/officeDocument/2006/relationships/hyperlink" Id="rId47" Target="http://epaper.stcn.com/paper/zqsb/html/epaper/index/content_520592.htm" TargetMode="External" /><Relationship Type="http://schemas.openxmlformats.org/officeDocument/2006/relationships/hyperlink" Id="rId62" Target="http://epaper.stcn.com/paper/zqsb/html/epaper/index/content_520603.htm" TargetMode="External" /><Relationship Type="http://schemas.openxmlformats.org/officeDocument/2006/relationships/hyperlink" Id="rId51" Target="http://epaper.stcn.com/paper/zqsb/html/epaper/index/content_520682.htm" TargetMode="External" /><Relationship Type="http://schemas.openxmlformats.org/officeDocument/2006/relationships/hyperlink" Id="rId76" Target="http://epaper.stcn.com/paper/zqsb/html/epaper/index/content_520995.htm" TargetMode="External" /><Relationship Type="http://schemas.openxmlformats.org/officeDocument/2006/relationships/hyperlink" Id="rId65" Target="http://epaper.stcn.com/paper/zqsb/html/epaper/index/content_521055.htm" TargetMode="External" /><Relationship Type="http://schemas.openxmlformats.org/officeDocument/2006/relationships/hyperlink" Id="rId79" Target="http://epaper.stcn.com/paper/zqsb/html/epaper/index/content_521059.htm" TargetMode="External" /><Relationship Type="http://schemas.openxmlformats.org/officeDocument/2006/relationships/hyperlink" Id="rId54" Target="http://epaper.stcn.com/paper/zqsb/html/epaper/index/content_521060.htm" TargetMode="External" /><Relationship Type="http://schemas.openxmlformats.org/officeDocument/2006/relationships/hyperlink" Id="rId82" Target="http://epaper.stcn.com/paper/zqsb/html/epaper/index/content_521078.htm" TargetMode="External" /><Relationship Type="http://schemas.openxmlformats.org/officeDocument/2006/relationships/hyperlink" Id="rId37" Target="http://www.cffex.com.cn/tzgg/jysgg/201311/t20131119_17429.html" TargetMode="External" /><Relationship Type="http://schemas.openxmlformats.org/officeDocument/2006/relationships/hyperlink" Id="rId21" Target="http://www.charltonslaw.com.cn/china-news-alerts-cn-issue-383/" TargetMode="External" /><Relationship Type="http://schemas.openxmlformats.org/officeDocument/2006/relationships/hyperlink" Id="rId31" Target="http://www.csrc.gov.cn/pub/newsite/bgt/xwdd/201311/t20131119_238569.htm" TargetMode="External" /><Relationship Type="http://schemas.openxmlformats.org/officeDocument/2006/relationships/hyperlink" Id="rId43" Target="http://www.mof.gov.cn/zhengwuxinxi/caizhengxinwen/201311/t20131121_1014563.html" TargetMode="External" /><Relationship Type="http://schemas.openxmlformats.org/officeDocument/2006/relationships/hyperlink" Id="rId58" Target="http://www.mof.gov.cn/zhuantihuigu/cztz/mtbdljw/201311/t20131121_1014349.html" TargetMode="External" /><Relationship Type="http://schemas.openxmlformats.org/officeDocument/2006/relationships/hyperlink" Id="rId69" Target="http://www.mofcom.gov.cn/article/ae/ai/201311/20131100397126.shtml" TargetMode="External" /><Relationship Type="http://schemas.openxmlformats.org/officeDocument/2006/relationships/hyperlink" Id="rId72" Target="http://www.mofcom.gov.cn/article/ae/ai/201311/20131100397131.shtml" TargetMode="External" /><Relationship Type="http://schemas.openxmlformats.org/officeDocument/2006/relationships/hyperlink" Id="rId40" Target="http://www.pbc.gov.cn/publish/goutongjiaoliu/524/2013/20131118175651511115732/20131118175651511115732_.html" TargetMode="External" /><Relationship Type="http://schemas.openxmlformats.org/officeDocument/2006/relationships/hyperlink" Id="rId8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第383期 - 2013年11月25日</dc:title>
  <dc:creator/>
</cp:coreProperties>
</file>