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第384期</w:t>
      </w:r>
      <w:r>
        <w:t xml:space="preserve"> </w:t>
      </w:r>
      <w:r>
        <w:t xml:space="preserve">-</w:t>
      </w:r>
      <w:r>
        <w:t xml:space="preserve"> </w:t>
      </w:r>
      <w:r>
        <w:t xml:space="preserve">2013年12月02日</w:t>
      </w:r>
    </w:p>
    <w:p>
      <w:hyperlink r:id="rId21">
        <w:r>
          <w:rPr>
            <w:rStyle w:val="Link"/>
          </w:rPr>
          <w:t xml:space="preserve">网络版</w:t>
        </w:r>
      </w:hyperlink>
    </w:p>
    <w:p>
      <w:pPr>
        <w:pStyle w:val="Heading1"/>
      </w:pPr>
      <w:bookmarkStart w:id="22" w:name="法讯中国第384期"/>
      <w:bookmarkEnd w:id="22"/>
      <w:r>
        <w:t xml:space="preserve">法讯中国第384期</w:t>
      </w:r>
    </w:p>
    <w:p>
      <w:pPr>
        <w:pStyle w:val="Heading2"/>
      </w:pPr>
      <w:bookmarkStart w:id="23" w:name="资本市场"/>
      <w:bookmarkEnd w:id="23"/>
      <w:r>
        <w:t xml:space="preserve">资本市场</w:t>
      </w:r>
    </w:p>
    <w:p>
      <w:pPr>
        <w:pStyle w:val="Heading3"/>
      </w:pPr>
      <w:bookmarkStart w:id="24" w:name="李克强主持召开国务院常务会议-部署推进公司注册资本登记制度改革"/>
      <w:bookmarkEnd w:id="24"/>
      <w:r>
        <w:t xml:space="preserve">李克强主持召开国务院常务会议 部署推进公司注册资本登记制度改革</w:t>
      </w:r>
    </w:p>
    <w:p>
      <w:r>
        <w:t xml:space="preserve">国务院总理李克强10月25日主持召开国务院常务会议，部署推进公司注册资本登记制度改革，降低创业成本，激发社会投资活力。</w:t>
      </w:r>
    </w:p>
    <w:p>
      <w:r>
        <w:t xml:space="preserve">会议指出，改革注册资本登记制度，放宽市场主体准入，创新政府监管方式，建立高效透明公正的现代公司登记制度，是新一届政府转变职能总体部署和改革方案中又一项重要举措，目的是为了进一步简政放权，构建公平竞争的市场环境，调动社会资本力量，促进小微企业特别是创新型企业成长，带动就业，推动新兴生产力发展。将这一改革举措全面推开，十分必要。这样做不仅顺应广大市场主体的热切期盼，有利于扩大社会投资，巩固经济稳中向好的发展态势，而且符合新技术、新产业、新业态等新兴生产力发展的要求，有利于建设服务型政府，减少对市场的微观干预，保障劳动创业权利，营造良好营商环境，创造更多就业机会，使人民群众在深化改革、不断解放和发展生产力中更多受益。</w:t>
      </w:r>
    </w:p>
    <w:p>
      <w:r>
        <w:t xml:space="preserve">会议强调，推行注册资本登记制度改革，就是要按照便捷高效、规范统一、宽进严管的原则，创新公司登记制度，降低准入门槛，强化市场主体责任，促进形成诚信、公平、有序的市场秩序。会议明确了改革的主要内容：一是放宽注册资本登记条件。除法律、法规另有规定外，取消有限责任公司最低注册资本3万元、一人有限责任公司最低注册资本10万元、股份有限公司最低注册资本500万元的限制；不再限制公司设立时股东（发起人）的首次出资比例和缴足出资的期限。公司实收资本不再作为工商登记事项。二是将企业年检制度改为年度报告制度，任何单位和个人均可查询，使企业相关信息透明化。建立公平规范的抽查制度，克服检查的随意性，提高政府管理的公平性和效能。三是按照方便注册和规范有序的原则，放宽市场主体住所（经营场所）登记条件，由地方政府具体规定。四是大力推进企业诚信制度建设。注重运用信息公示和共享等手段，将企业登记备案、年度报告、资质资格等通过市场主体信用信息系统予以公示。推行电子营业执照和全程电子化登记管理，与纸质营业执照具有同等法律效力。完善信用约束机制，将有违规行为的市场主体列入经营异常的“黑名录”，向社会公布，使其“一处违规、处处受限”，提高企业“失信成本”。五是推进注册资本由实缴登记制改为认缴登记制，降低开办公司成本。在抓紧完善相关法律法规的基础上，实行由公司股东（发起人）自主约定认缴出资额、出资方式、出资期限等，并对缴纳出资情况真实性、合法性负责的制度。</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新三板主办券商登记结算技术准备2014年1月5日前就绪"/>
      <w:bookmarkEnd w:id="27"/>
      <w:r>
        <w:t xml:space="preserve">新三板主办券商登记结算技术准备2014年1月5日前就绪</w:t>
      </w:r>
    </w:p>
    <w:p>
      <w:r>
        <w:t xml:space="preserve">中国证券登记结算有限责任公司11月25日发布通知，公司将在北京建设部署一套服务于全国股份转让系统（新三板）的登记结算系统，各主办券商须按照数据接口规范及技术变更指南的要求，于2014年1月5日前完成技术系统相关准备、参加公司组织的仿真测试。中国结算还设计了在极端情况下对非集合竞价的异常交易实施逐笔全额结算等风控措施。</w:t>
      </w:r>
    </w:p>
    <w:p>
      <w:r>
        <w:t xml:space="preserve">中国结算将为新三板挂牌股票转让提供多边净额担保结算为主、逐笔全额非担保结算为辅的结算服务。对于正常的股票转让，均参照A股采用“T日日终完成股票过户，T+1日终完成资金交收”的多边净额结算模式，同时保留将对手方明确的异常交易从多边净额结算中划分出来、实施逐笔全额结算的权力，并能与全国股份转让公司暂缓进入清算交收程序的异常转让情况的后续处理相衔接。结算参与人需要缴纳备付金和保证金，但无需缴纳结算风险基金。</w:t>
      </w:r>
    </w:p>
    <w:p>
      <w:r>
        <w:t xml:space="preserve">考虑到全国股份转让系统挂牌股票成交不活跃、不设涨跌幅限制的特点，中国结算为其提供多边净额结算的风险要高于沪深主板，中国结算除采用沪深市场已有的风控措施外，还针对性地设计了在极端情况下对非集合竞价的异常交易实施逐笔全额结算、动用违约参与人京沪深三地的自有资金和自营证券等措施。</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r>
        <w:t xml:space="preserve"> </w:t>
      </w:r>
      <w:hyperlink r:id="rId30">
        <w:r>
          <w:rPr>
            <w:rStyle w:val="Link"/>
          </w:rPr>
          <w:t xml:space="preserve">来源</w:t>
        </w:r>
      </w:hyperlink>
      <w:r>
        <w:t xml:space="preserve"> </w:t>
      </w:r>
      <w:r>
        <w:t xml:space="preserve">(</w:t>
      </w:r>
      <w:hyperlink r:id="rId31">
        <w:r>
          <w:rPr>
            <w:rStyle w:val="Link"/>
          </w:rPr>
          <w:t xml:space="preserve">副本</w:t>
        </w:r>
      </w:hyperlink>
      <w:r>
        <w:t xml:space="preserve">)</w:t>
      </w:r>
    </w:p>
    <w:p>
      <w:pPr>
        <w:pStyle w:val="Heading3"/>
      </w:pPr>
      <w:bookmarkStart w:id="32" w:name="东莞市鼓励企业挂牌全国中小企业股份转让系统暂行办法日前印发"/>
      <w:bookmarkEnd w:id="32"/>
      <w:r>
        <w:t xml:space="preserve">《东莞市鼓励企业挂牌全国中小企业股份转让系统暂行办法》日前印发</w:t>
      </w:r>
    </w:p>
    <w:p>
      <w:r>
        <w:t xml:space="preserve">11月25日，东莞市市政府办公室印发《东莞市鼓励企业挂牌全国中小企业股份转让系统暂行办法》（以下简称“办法”），对成功挂牌全国股份转让系统的企业制定了明确的鼓励政策。</w:t>
      </w:r>
    </w:p>
    <w:p>
      <w:r>
        <w:t xml:space="preserve">“办法”规定，对成功挂牌全国股转系统的企业，在挂牌成功后一次性奖励100万元。在转板奖励方面，全国股份转让系统挂牌企业申请转到主板、中小板和创业板上市，对成功转板上市的企业，再奖励100万元，同时享受《东莞市培育企业上市操作流程》“已上市企业资助”的奖励政策。企业采用“买壳”、“借壳”方式实现全国股转系统挂牌，并首次将挂牌企业注册地迁入东莞的，或异地已挂牌企业首次将注册地迁入东莞的，享受转板鼓励有关政策。</w:t>
      </w:r>
    </w:p>
    <w:p>
      <w:r>
        <w:t xml:space="preserve">目前，上报到全国股份转让系统的东莞企业有8家（意普万尼龙、奥美格、广东科硕、三基音响、广东伯朗特、优越检测、正太合赢、三凯新材料），上报家数位列广东省第二。目前，全国挂牌“新三板”的企业有300多家，若“新三板”扩容，东莞8家企业有望成功挂牌。</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r>
        <w:t xml:space="preserve"> </w:t>
      </w:r>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银监会规范银行业金融机构高管资格管理"/>
      <w:bookmarkEnd w:id="37"/>
      <w:r>
        <w:t xml:space="preserve">银监会规范银行业金融机构高管资格管理</w:t>
      </w:r>
    </w:p>
    <w:p>
      <w:r>
        <w:t xml:space="preserve">11月18日，银监会发布《银行业金融机构董事（理事）和高级管理人员任职资格管理办法》，自12月18日起施行。该《办法》于11月27日公布于银监会官网。</w:t>
      </w:r>
    </w:p>
    <w:p>
      <w:r>
        <w:t xml:space="preserve">《办法》从制度上确立了高管人员任职资格核准、动态持续管理、任职资格终止等全流程监管模式。此外，《办法》明确了金融机构拟任、现任董事（理事）和高级管理人员在品行、声誉、知识、经验、能力、财务状况、独立性等方面应当具备的任职条件。</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大商所公布施行纤维板胶合板期货合约"/>
      <w:bookmarkEnd w:id="40"/>
      <w:r>
        <w:t xml:space="preserve">大商所公布施行纤维板、胶合板期货合约</w:t>
      </w:r>
    </w:p>
    <w:p>
      <w:r>
        <w:t xml:space="preserve">11月28日，大连商品交易所公布施行《大连商品交易所纤维板期货合约》、《大连商品交易所胶合板期货合约》及相关实施细则修正案，自合约上市之日起施行。根据“两板”期货合约，交易标的分别为中密度纤维板和细木工板。“两板”期货最低交易保证金为合约价值的5%，交易单位为500张/手，最小变动价位5元/张，每日价格波动限制为上一交易日结算价±4%，合约交割月份为1、2、3、4、5、6、7、8、9、10、11、12月。 相关细则在如下几方面进行了修改：</w:t>
      </w:r>
    </w:p>
    <w:p>
      <w:r>
        <w:t xml:space="preserve">首先，在《大连商品交易所交易细则修正案》中增加了纤维板、胶合板合约交易指令每次最大下单数量为1000手的内容。</w:t>
      </w:r>
    </w:p>
    <w:p>
      <w:r>
        <w:t xml:space="preserve">其次，在《大连商品交易所交割细则修正案》中增加了关于“两板”标准交割品、替代品的质量标准、包装、交割仓库及备用库等内容详细描述。</w:t>
      </w:r>
    </w:p>
    <w:p>
      <w:r>
        <w:t xml:space="preserve">第三，在《大连商品交易所指定交割仓库管理办法修正案》中新增规定，指定交割仓库在贮存纤维板、胶合板时的注意事项。</w:t>
      </w:r>
    </w:p>
    <w:p>
      <w:r>
        <w:t xml:space="preserve">最后，在标准仓单管理办法修正案中，增加了“纤维板、胶合板必须按0.2元/张向交易所缴纳交割预报定金”和检验规定等。</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大商所不再披露套期保值持仓量"/>
      <w:bookmarkEnd w:id="43"/>
      <w:r>
        <w:t xml:space="preserve">大商所：不再披露“套期保值持仓量”</w:t>
      </w:r>
    </w:p>
    <w:p>
      <w:r>
        <w:t xml:space="preserve">11月27日，大连商品交易所发布修改后的《大连商品交易所信息管理办法》，自12月3日起施行。</w:t>
      </w:r>
    </w:p>
    <w:p>
      <w:r>
        <w:t xml:space="preserve">此次修改包括以下内容：将非期货公司会员成交、持仓等披露信息改为所有非期货公司会员的合计量信息；在交割信息中，只披露会员配对信息，且不公布非期货公司会员号；不再披露“套期保值持仓量”。</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上期所修订阴极铜铝锌铅四个期货合约"/>
      <w:bookmarkEnd w:id="46"/>
      <w:r>
        <w:t xml:space="preserve">上期所修订阴极铜、铝、锌、铅四个期货合约</w:t>
      </w:r>
    </w:p>
    <w:p>
      <w:r>
        <w:t xml:space="preserve">11月26日，上海期货交易所发布《关于印发阴极铜、铝、锌、铅四个期货合约修订案的公告》，修订后四个期货合约自上期所阴极铜、铝、锌、铅连续交易正式运行之日起实施。</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基金业协会要求加强专项资产管理业务风险管理"/>
      <w:bookmarkEnd w:id="49"/>
      <w:r>
        <w:t xml:space="preserve">基金业协会要求加强专项资产管理业务风险管理</w:t>
      </w:r>
    </w:p>
    <w:p>
      <w:r>
        <w:t xml:space="preserve">近日，中国证券投资基金业协会发布了《关于加强专项资产管理业务风险管理有关事项的通知》。</w:t>
      </w:r>
    </w:p>
    <w:p>
      <w:r>
        <w:t xml:space="preserve">《通知》要求，各机构要严格执行销售适用性原则，在销售专项资产管理计划时，应明确向投资者揭示风险，相关销售机构应依法履行反洗钱相关义务。《通知》规定，各机构应当完善内部管理机制，建立长效激励约束机制，防止片面追求项目数量与管理规模而忽视风险的短期行为，加强对从业人员的合规教育。</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中央财政实施采购东北地区粳稻玉米费用补贴政策"/>
      <w:bookmarkEnd w:id="52"/>
      <w:r>
        <w:t xml:space="preserve">中央财政实施采购东北地区粳稻、玉米费用补贴政策</w:t>
      </w:r>
    </w:p>
    <w:p>
      <w:r>
        <w:t xml:space="preserve">近日，财政部会同国家发展改革委、国家粮食局、中国农业发展银行印发《采购东北地区2013年新产粳稻和玉米费用补贴管理办法》的通知，对采购东北地区2013年产粳稻、玉米实施费用补贴政策。</w:t>
      </w:r>
    </w:p>
    <w:p>
      <w:r>
        <w:t xml:space="preserve">《通知》明确，东北三省之外的其他28个省份到黑龙江、吉林和辽宁采购粳稻，以及南方饲料消费省份到黑龙江、吉林、辽宁、内蒙采购玉米，运回本省销售、加工或转为储备的，财政给予一次性费用补贴。补贴标准为每市斤7分钱。补贴对象包括相关省（区、市）自主确定的本省骨干粮食企业，以及中粮、中纺和中储粮等中央企业集团。</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税务"/>
      <w:bookmarkEnd w:id="55"/>
      <w:r>
        <w:t xml:space="preserve">税务</w:t>
      </w:r>
    </w:p>
    <w:p>
      <w:pPr>
        <w:pStyle w:val="Heading3"/>
      </w:pPr>
      <w:bookmarkStart w:id="56" w:name="中法签订税务合作协定"/>
      <w:bookmarkEnd w:id="56"/>
      <w:r>
        <w:t xml:space="preserve">中法签订税务合作协定</w:t>
      </w:r>
    </w:p>
    <w:p>
      <w:r>
        <w:t xml:space="preserve">首次中法高级别经济财金对话11月26日在北京举行。本次对话达成一系列重要共识和积极成果，发表了《首次中法高级别经济财金对话联合声明》。对话结束后，马凯和莫斯科维奇共同见证中法《对所得避免双重征税和防止偷漏税的协定》及议定书和双方税务部门《双边合作备忘录》签字仪式，并共同会见记者。</w:t>
      </w:r>
    </w:p>
    <w:p>
      <w:r>
        <w:t xml:space="preserve">法国财长莫斯科维奇介绍，这项合作协议让中法双方在税收信息共享方面达到最高标准。国家税务总局局长王军代表中方签署了合作协议。</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行业"/>
      <w:bookmarkEnd w:id="59"/>
      <w:r>
        <w:t xml:space="preserve">行业</w:t>
      </w:r>
    </w:p>
    <w:p>
      <w:pPr>
        <w:pStyle w:val="Heading3"/>
      </w:pPr>
      <w:bookmarkStart w:id="60" w:name="商务部改革执法体制全面推行综合执法"/>
      <w:bookmarkEnd w:id="60"/>
      <w:r>
        <w:t xml:space="preserve">商务部改革执法体制全面推行综合执法</w:t>
      </w:r>
    </w:p>
    <w:p>
      <w:r>
        <w:t xml:space="preserve">11月22日，商务部下发《关于进一步加强商务行政执法工作的意见》，就进一步加强商务行政执法工作进行全面部署。该《意见》于11月26日公布于商务部官网。</w:t>
      </w:r>
    </w:p>
    <w:p>
      <w:r>
        <w:t xml:space="preserve">《意见》共部署五个方面18项具体任务。《意见》要求，各地商务主管部门要大力推进制定政策、审查审批等职能与监督检查、实施处罚等职能相对分开，抓紧将分散的行政处罚职能集中起来，由商务行政执法队伍实行集中执法、综合执法。抓紧对拍卖、典当、商业特许经营、再生资源回收、单用途商业预付卡、家庭服务业等国内外贸易及国际经济合作领域行政处罚权限进行梳理，切实做到有法必依、执法必严、违法必究。</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上海正式启动碳排放交易-191家企业纳入配额管理"/>
      <w:bookmarkEnd w:id="63"/>
      <w:r>
        <w:t xml:space="preserve">上海正式启动碳排放交易 191家企业纳入配额管理</w:t>
      </w:r>
    </w:p>
    <w:p>
      <w:r>
        <w:t xml:space="preserve">上海11月26日正式启动了碳排放交易，全市191家来自钢铁等工业行业及宾馆等非工业行业的企业，率先纳入了碳排放配额管理范围。</w:t>
      </w:r>
    </w:p>
    <w:p>
      <w:r>
        <w:t xml:space="preserve">11月26日上午9时30分上海碳排放交易启动后，2013至2015年三个年度配额分别都出现了成交，首笔成交价格分别为每吨二氧化碳27元、26元和25元，成交量分别为5000吨、4000吨和500吨，成交企业包括申能外高桥第三发电厂、中石化上海高桥分公司等。</w:t>
      </w:r>
    </w:p>
    <w:p>
      <w:r>
        <w:t xml:space="preserve">根据总体安排，在2013年至2015年的试点阶段，上海纳入配额管理范围的试点企业有191家，主要来自钢铁、化工、电力等工业行业，以及宾馆、商场、港口、机场、航空等非工业行业。试点阶段，企业2013至2015年各年度碳排放配额全部实行免费发放。试点企业已通过登记注册系统取得了各自的配额。</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减轻煤企负担-实施差别化进口关税"/>
      <w:bookmarkEnd w:id="66"/>
      <w:r>
        <w:t xml:space="preserve">减轻煤企负担 实施差别化进口关税</w:t>
      </w:r>
    </w:p>
    <w:p>
      <w:r>
        <w:t xml:space="preserve">国务院办公厅11月28日通过官方网站公布了《关于促进煤炭行业平稳运行的意见》。</w:t>
      </w:r>
    </w:p>
    <w:p>
      <w:r>
        <w:t xml:space="preserve">《意见》提出以下五点政策措施：</w:t>
      </w:r>
    </w:p>
    <w:p>
      <w:r>
        <w:t xml:space="preserve">一、坚决遏制煤炭产量无序增长</w:t>
      </w:r>
    </w:p>
    <w:p>
      <w:r>
        <w:t xml:space="preserve">二、切实减轻煤炭企业税费负担</w:t>
      </w:r>
    </w:p>
    <w:p>
      <w:r>
        <w:t xml:space="preserve">三、加强煤炭进出口环节管理</w:t>
      </w:r>
    </w:p>
    <w:p>
      <w:r>
        <w:t xml:space="preserve">四、提高煤炭企业生产经营水平</w:t>
      </w:r>
    </w:p>
    <w:p>
      <w:r>
        <w:t xml:space="preserve">五、营造煤炭企业良好发展环境</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北京出台购车摇号新规"/>
      <w:bookmarkEnd w:id="69"/>
      <w:r>
        <w:t xml:space="preserve">北京出台购车摇号新规</w:t>
      </w:r>
    </w:p>
    <w:p>
      <w:r>
        <w:t xml:space="preserve">11月28日，北京市交通委发布《北京市小客车数量调控暂行规定》实施细则（2013年修订），明年起，每两个月摇号一次，年度指标配置总量减为15万个，确保2017年机动车保有量不超过600万。同时，新政策将严厉打击非法转让指标的行为。</w:t>
      </w:r>
    </w:p>
    <w:p>
      <w:r>
        <w:t xml:space="preserve">新规较青睐新能源汽车。实施细则规定，在指标结构构成上增加示范应用新能源小客车指标类别并逐年增加所占比例。60万个增量小客车指标额度中，43万个是普通小客车指标，17万个为北京市示范应用新能源小客车指标。</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财政部明确分布式光伏发电自发自用电量免征政府性基金有关问题"/>
      <w:bookmarkEnd w:id="72"/>
      <w:r>
        <w:t xml:space="preserve">财政部明确分布式光伏发电自发自用电量免征政府性基金有关问题</w:t>
      </w:r>
    </w:p>
    <w:p>
      <w:r>
        <w:t xml:space="preserve">财政部日前发布《关于对分布式光伏发电自发自用电量免征政府性基金有关问题的通知》。</w:t>
      </w:r>
    </w:p>
    <w:p>
      <w:r>
        <w:t xml:space="preserve">《通知》称，根据《国务院关于促进光伏产业健康发展的若干意见》（国发〔2013〕24号）的有关规定，对分布式光伏发电自发自用电量免收可再生能源电价附加、国家重大水利工程建设基金、大中型水库移民后期扶持基金、农网还贷资金等4项针对电量征收的政府性基金。上述规定自本通知发文之日起施行。</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国务院公布畜禽规模养殖污染防治条例"/>
      <w:bookmarkEnd w:id="75"/>
      <w:r>
        <w:t xml:space="preserve">国务院公布《畜禽规模养殖污染防治条例》</w:t>
      </w:r>
    </w:p>
    <w:p>
      <w:r>
        <w:t xml:space="preserve">11月11日，国务院公布《畜禽规模养殖污染防治条例》，自2014年1月1日起施行。该《条例》于11月26日在国务院官网公布。</w:t>
      </w:r>
    </w:p>
    <w:p>
      <w:r>
        <w:t xml:space="preserve">《条例》明确规定，禁止在下列区域内建设畜禽养殖场、养殖小区：（一）饮用水水源保护区，风景名胜区；（二）自然保护区的核心区和缓冲区；（三）城镇居民区、文化教育科学研究区等人口集中区域；（四）法律、法规规定的其他禁止养殖区域。此外，从事畜禽养殖活动，应当采取科学的饲养方式和废弃物处理工艺等有效措施，减少畜禽养殖废弃物的产生量和向环境的排放量。</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2"/>
      </w:pPr>
      <w:bookmarkStart w:id="78" w:name="并购"/>
      <w:bookmarkEnd w:id="78"/>
      <w:r>
        <w:t xml:space="preserve">并购</w:t>
      </w:r>
    </w:p>
    <w:p>
      <w:pPr>
        <w:pStyle w:val="Heading3"/>
      </w:pPr>
      <w:bookmarkStart w:id="79" w:name="北汽成功收购昌河-未来4年将投130亿"/>
      <w:bookmarkEnd w:id="79"/>
      <w:r>
        <w:t xml:space="preserve">北汽成功收购昌河 未来4年将投130亿</w:t>
      </w:r>
    </w:p>
    <w:p>
      <w:r>
        <w:t xml:space="preserve">11月25日，北汽集团重组江西昌河汽车举行签约仪式，这是按照新的中国汽车产业政策实施国内兼并重组的成功案例。</w:t>
      </w:r>
    </w:p>
    <w:p>
      <w:r>
        <w:t xml:space="preserve">根据双方协议，北汽集团将持有江西昌河70%股份，到2017年末计划累计投资约130亿元，实现整车产能50万辆，全产业链年营业收入达到500亿元，并带动汽车服务贸易、汽车金融业的快速发展。随着进一步的发展，北汽集团还将继续扩大昌河汽车的产业规模，建设合资新基地和自主品牌战略基地，使昌河达到产销整车100万辆、实现全产业链1000亿元的营业收入，进入“百万千亿”企业级别。</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中农资源11月连续并购两家种子公司"/>
      <w:bookmarkEnd w:id="82"/>
      <w:r>
        <w:t xml:space="preserve">中农资源11月连续并购两家种子公司</w:t>
      </w:r>
    </w:p>
    <w:p>
      <w:r>
        <w:t xml:space="preserve">中农资源11月25日公告称，根据公司经营发展的需要，公司拟使用自有资金6611万元收购陈艳宾等9个自然人所持有的潞玉种业51%的股权。此前，中农资源已经在11月16日即大股东承诺完成注入锦绣华农股权的最后期限公告称，使用自有资金5689.87万元收购公司第一大股东中国农垦（集团）总公司所持有的锦绣华农54.96%股权。</w:t>
      </w:r>
    </w:p>
    <w:p>
      <w:r>
        <w:t xml:space="preserve">此前，农业部颁布了《农作物种子生产经营许可管理办法》，自2011年9月25日起施行。其中，申请杂交稻、杂交玉米种子及其亲本种子生产许可证的，注册资本不少于3000 万元；申请杂交稻、杂交玉米种子及其亲本种子经营许可证的，注册资本不少于3000万元，固定资产不少于1000万元；实行选育、生产、经营相结合，注册资本达到1亿元以上的公司，申请种子经营许可证的，固定资产不少于5000万元。在政策的推动下，上市公司纷纷在种业方面推进并购。</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2"/>
      </w:pPr>
      <w:bookmarkStart w:id="85" w:name="房地产"/>
      <w:bookmarkEnd w:id="85"/>
      <w:r>
        <w:t xml:space="preserve">房地产</w:t>
      </w:r>
    </w:p>
    <w:p>
      <w:pPr>
        <w:pStyle w:val="Heading3"/>
      </w:pPr>
      <w:bookmarkStart w:id="86" w:name="年底多城市调控突击加码"/>
      <w:bookmarkEnd w:id="86"/>
      <w:r>
        <w:t xml:space="preserve">年底多城市调控突击加码</w:t>
      </w:r>
    </w:p>
    <w:p>
      <w:r>
        <w:t xml:space="preserve">自11月22日以来，陆续有武汉、南昌、沈阳、厦门、南京、长沙、杭州等7个城市出台了调控新政。此前，北上广深四大一线城市以及郑州市已出台调控新政。</w:t>
      </w:r>
    </w:p>
    <w:p>
      <w:r>
        <w:t xml:space="preserve">11月26日，杭州市住房保障和房产管理局发布促进房地产市场平稳健康发展六条措施。2013年市区住房用地供应量在不低于过去5年平均供应量的基础上，再增加大于20%的供应量。同时，人民银行杭州中心支行发文称，自12月6日起杭州市区（含萧山区、余杭区）二套房首付提至70%；首套房继续执行最低30%的规定；继续暂停发放家庭购买第三套住房贷款。</w:t>
      </w:r>
    </w:p>
    <w:p>
      <w:r>
        <w:t xml:space="preserve">同时，长沙市政府办公厅发布《关于进一步做好房地产市场调控工作的通知》，内容包括：抑制不合理住房需求，对在本市主城区购买第二套新建商品住房的，进一步提高第二套住房贷款的首付比例等。</w:t>
      </w:r>
    </w:p>
    <w:p>
      <w:r>
        <w:t xml:space="preserve">11月26日，人民银行南京分行发布《关于调整南京市差别化住房信贷政策的通知》，自2013年11月27日起，对贷款购买第二套住房的家庭，首付款比例不得低于70%。</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2"/>
      </w:pPr>
      <w:bookmarkStart w:id="89" w:name="其他"/>
      <w:bookmarkEnd w:id="89"/>
      <w:r>
        <w:t xml:space="preserve">其他</w:t>
      </w:r>
    </w:p>
    <w:p>
      <w:pPr>
        <w:pStyle w:val="Heading3"/>
      </w:pPr>
      <w:bookmarkStart w:id="90" w:name="高通公司遭发改委反垄断调查"/>
      <w:bookmarkEnd w:id="90"/>
      <w:r>
        <w:t xml:space="preserve">高通公司遭发改委反垄断调查</w:t>
      </w:r>
    </w:p>
    <w:p>
      <w:r>
        <w:t xml:space="preserve">11月25日，中国国家发改委启动了对高通公司的反垄断调查。作为全球最大的手机芯片厂商，中国大部分手机厂商都是高通的客户，而中国移动准备在2014年启动的基于TD-LTE技术的4G网络，也将使用高通的技术标准。对于此次发改委的反垄断调查，高通公司表示将配合发改委调查。</w:t>
      </w:r>
    </w:p>
    <w:p>
      <w:r>
        <w:t xml:space="preserve">3G时代，高通公司凭借CDMA、WCDMA专利技术，成为3G时代霸主。在4G时代，高通公司目前拥有基于OFDMA的专利技术，对于4G技术的布局，高通早在2006年就已经通过收购Flarion科技公司获得了近300项OFDMA基础专利。目前高通公司在3G、4G领域拥有1400多项核心专利。在截至9月底的之前12个月中，高通来自中国市场的营收为123亿美元，占总营收的49%。</w:t>
      </w:r>
    </w:p>
    <w:p>
      <w:hyperlink r:id="rId91">
        <w:r>
          <w:rPr>
            <w:rStyle w:val="Link"/>
          </w:rPr>
          <w:t xml:space="preserve">来源</w:t>
        </w:r>
      </w:hyperlink>
      <w:r>
        <w:t xml:space="preserve"> </w:t>
      </w:r>
      <w:r>
        <w:t xml:space="preserve">(</w:t>
      </w:r>
      <w:hyperlink r:id="rId92">
        <w:r>
          <w:rPr>
            <w:rStyle w:val="Link"/>
          </w:rPr>
          <w:t xml:space="preserve">副本</w:t>
        </w:r>
      </w:hyperlink>
      <w:r>
        <w:t xml:space="preserve">)</w:t>
      </w:r>
    </w:p>
    <w:p>
      <w:pPr>
        <w:pStyle w:val="Heading3"/>
      </w:pPr>
      <w:bookmarkStart w:id="93" w:name="奇虎360诉腾讯垄断案终审"/>
      <w:bookmarkEnd w:id="93"/>
      <w:r>
        <w:t xml:space="preserve">奇虎360诉腾讯垄断案终审</w:t>
      </w:r>
    </w:p>
    <w:p>
      <w:r>
        <w:t xml:space="preserve">11月26日，最高院第一法庭公开开庭审理奇虎360公司与腾讯公司之间的反垄断诉讼案终审。</w:t>
      </w:r>
    </w:p>
    <w:p>
      <w:r>
        <w:t xml:space="preserve">2012年4月，腾讯在广东高院起诉360不正当竞争，与此同时360在广东高院起诉腾讯滥用市场支配地位。2013年3月28日，360诉腾讯滥用市场支配地位一案一审宣判。广东省高院驳回360全部诉讼请求。判决认为，腾讯不存在市场支配地位，也不存在滥用问题。360不服一审判决，于今年4月向最高人民法院提出上诉。</w:t>
      </w:r>
    </w:p>
    <w:p>
      <w:r>
        <w:t xml:space="preserve">该案是自国家《反垄断法》出台6年来，最高法院审理的首例互联网反垄断案，对国内互联网反垄断的判决具有标志性意义。</w:t>
      </w:r>
    </w:p>
    <w:p>
      <w:hyperlink r:id="rId94">
        <w:r>
          <w:rPr>
            <w:rStyle w:val="Link"/>
          </w:rPr>
          <w:t xml:space="preserve">来源</w:t>
        </w:r>
      </w:hyperlink>
      <w:r>
        <w:t xml:space="preserve"> </w:t>
      </w:r>
      <w:r>
        <w:t xml:space="preserve">(</w:t>
      </w:r>
      <w:hyperlink r:id="rId95">
        <w:r>
          <w:rPr>
            <w:rStyle w:val="Link"/>
          </w:rPr>
          <w:t xml:space="preserve">副本</w:t>
        </w:r>
      </w:hyperlink>
      <w:r>
        <w:t xml:space="preserve">)</w:t>
      </w:r>
    </w:p>
    <w:p>
      <w:pPr>
        <w:pStyle w:val="Heading3"/>
      </w:pPr>
      <w:bookmarkStart w:id="96" w:name="中华环保联合会诉中石油违法排污"/>
      <w:bookmarkEnd w:id="96"/>
      <w:r>
        <w:t xml:space="preserve">中华环保联合会诉中石油违法排污</w:t>
      </w:r>
    </w:p>
    <w:p>
      <w:r>
        <w:t xml:space="preserve">11月28日，针对中国石油吉林油田分公司松原采气厂的严重违法排污行为，中华环保联合会提起环境公益诉讼。</w:t>
      </w:r>
    </w:p>
    <w:p>
      <w:r>
        <w:t xml:space="preserve">诉讼请求如下：请求法院判令被告立即停止环境违法行为，依法处置非法存放的危险废物，排除因环境污染造成的危害；请求法院判令被告对受到污染的土壤及地下水等生态环境进行修复，并支付生态环境损害赔偿款暂定人民币6075万元 。</w:t>
      </w:r>
    </w:p>
    <w:p>
      <w:hyperlink r:id="rId97">
        <w:r>
          <w:rPr>
            <w:rStyle w:val="Link"/>
          </w:rPr>
          <w:t xml:space="preserve">来源</w:t>
        </w:r>
      </w:hyperlink>
      <w:r>
        <w:t xml:space="preserve"> </w:t>
      </w:r>
      <w:r>
        <w:t xml:space="preserve">(</w:t>
      </w:r>
      <w:hyperlink r:id="rId98">
        <w:r>
          <w:rPr>
            <w:rStyle w:val="Link"/>
          </w:rPr>
          <w:t xml:space="preserve">副本</w:t>
        </w:r>
      </w:hyperlink>
      <w:r>
        <w:t xml:space="preserve">)</w:t>
      </w:r>
    </w:p>
    <w:p>
      <w:pPr>
        <w:pStyle w:val="Heading3"/>
      </w:pPr>
      <w:bookmarkStart w:id="99" w:name="最高法发布人民法院在互联网公布裁判文书的规定"/>
      <w:bookmarkEnd w:id="99"/>
      <w:r>
        <w:t xml:space="preserve">最高法发布人民法院在互联网公布裁判文书的规定</w:t>
      </w:r>
    </w:p>
    <w:p>
      <w:r>
        <w:t xml:space="preserve">最高人民法院日前发布《关于人民法院在互联网公布裁判文书的规定》（以下简称《规定》）。《规定》将自2014年1月1日起施行。</w:t>
      </w:r>
    </w:p>
    <w:p>
      <w:r>
        <w:t xml:space="preserve">《规定》确保人民法院在互联网公布裁判文书的全面性。《规定》第四条明确要求，除4种情形外，人民法院的生效裁判文书均应当在互联网公布。人民法院生效裁判文书不在互联网公布的4种情形是：1、涉及国家秘密、个人隐私的；2、涉及未成年人违法犯罪的；3、以调解方式结案的；4、其他不宜在互联网公布的。</w:t>
      </w:r>
    </w:p>
    <w:p>
      <w:hyperlink r:id="rId100">
        <w:r>
          <w:rPr>
            <w:rStyle w:val="Link"/>
          </w:rPr>
          <w:t xml:space="preserve">来源</w:t>
        </w:r>
      </w:hyperlink>
      <w:r>
        <w:t xml:space="preserve"> </w:t>
      </w:r>
      <w:r>
        <w:t xml:space="preserve">(</w:t>
      </w:r>
      <w:hyperlink r:id="rId101">
        <w:r>
          <w:rPr>
            <w:rStyle w:val="Link"/>
          </w:rPr>
          <w:t xml:space="preserve">副本</w:t>
        </w:r>
      </w:hyperlink>
      <w:r>
        <w:t xml:space="preserve">)</w:t>
      </w:r>
    </w:p>
    <w:p>
      <w:pPr>
        <w:pStyle w:val="Heading3"/>
      </w:pPr>
      <w:bookmarkStart w:id="102" w:name="最高法发布意见全面推进司法公开三大平台建设"/>
      <w:bookmarkEnd w:id="102"/>
      <w:r>
        <w:t xml:space="preserve">最高法发布《意见》全面推进司法公开三大平台建设</w:t>
      </w:r>
    </w:p>
    <w:p>
      <w:r>
        <w:t xml:space="preserve">最高法日前发布《关于推进司法公开三大平台建设的若干意见》（以下简称《意见》），于发布之日起施行。</w:t>
      </w:r>
    </w:p>
    <w:p>
      <w:r>
        <w:t xml:space="preserve">《意见》包括五个部分23条，其主要内容如下：（一）推进审判流程信息全面公开。审判流程信息是人民法院在立案、庭审、听证、合议、宣判等诉讼过程中产生的各类静态和动态信息。（二）推进裁判文书信息全面公开。（三）推进执行信息全面公开。执行信息是人民法院在执行过程中产生的各类信息。</w:t>
      </w:r>
    </w:p>
    <w:p>
      <w:hyperlink r:id="rId103">
        <w:r>
          <w:rPr>
            <w:rStyle w:val="Link"/>
          </w:rPr>
          <w:t xml:space="preserve">来源</w:t>
        </w:r>
      </w:hyperlink>
      <w:r>
        <w:t xml:space="preserve"> </w:t>
      </w:r>
      <w:r>
        <w:t xml:space="preserve">(</w:t>
      </w:r>
      <w:hyperlink r:id="rId104">
        <w:r>
          <w:rPr>
            <w:rStyle w:val="Link"/>
          </w:rPr>
          <w:t xml:space="preserve">副本</w:t>
        </w:r>
      </w:hyperlink>
      <w:r>
        <w:t xml:space="preserve">)</w:t>
      </w:r>
    </w:p>
    <w:p>
      <w:pPr>
        <w:pStyle w:val="Heading3"/>
      </w:pPr>
      <w:bookmarkStart w:id="105" w:name="国家卫生计生委出台行政复议与行政应诉管理办法"/>
      <w:bookmarkEnd w:id="105"/>
      <w:r>
        <w:t xml:space="preserve">国家卫生计生委出台《行政复议与行政应诉管理办法》</w:t>
      </w:r>
    </w:p>
    <w:p>
      <w:r>
        <w:t xml:space="preserve">国家卫生计生委日前发布《行政复议与行政应诉管理办法》，自发布之日起实施。《办法》分5章，共33条，分别是：总则、行政复议、行政应诉、指导和监督、附则。</w:t>
      </w:r>
    </w:p>
    <w:p>
      <w:r>
        <w:t xml:space="preserve">《办法》重点强调以下内容：1、进一步明确了各司局职责。2、改进了行政复议审理方式。3、完善了委本级复议案件的审理程序。4、增加行政复议的指导和监督职能。</w:t>
      </w:r>
    </w:p>
    <w:p>
      <w:hyperlink r:id="rId106">
        <w:r>
          <w:rPr>
            <w:rStyle w:val="Link"/>
          </w:rPr>
          <w:t xml:space="preserve">来源</w:t>
        </w:r>
      </w:hyperlink>
      <w:r>
        <w:t xml:space="preserve"> </w:t>
      </w:r>
      <w:r>
        <w:t xml:space="preserve">(</w:t>
      </w:r>
      <w:hyperlink r:id="rId10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08">
        <w:r>
          <w:rPr>
            <w:rStyle w:val="Link"/>
          </w:rPr>
          <w:t xml:space="preserve">unsubscribe@charltonslaw.com</w:t>
        </w:r>
      </w:hyperlink>
    </w:p>
    <w:p>
      <w:r>
        <w:rPr>
          <w:b/>
        </w:rPr>
        <w:t xml:space="preserve">易周律师行 - 法讯 - 中国 - 第384期 - 2013年12月02日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490492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81" Target="17.pdf" TargetMode="External" /><Relationship Type="http://schemas.openxmlformats.org/officeDocument/2006/relationships/hyperlink" Id="rId84" Target="18.pdf" TargetMode="External" /><Relationship Type="http://schemas.openxmlformats.org/officeDocument/2006/relationships/hyperlink" Id="rId88" Target="19.pdf" TargetMode="External" /><Relationship Type="http://schemas.openxmlformats.org/officeDocument/2006/relationships/hyperlink" Id="rId29" Target="2.pdf" TargetMode="External" /><Relationship Type="http://schemas.openxmlformats.org/officeDocument/2006/relationships/hyperlink" Id="rId92" Target="20.pdf" TargetMode="External" /><Relationship Type="http://schemas.openxmlformats.org/officeDocument/2006/relationships/hyperlink" Id="rId95" Target="21.pdf" TargetMode="External" /><Relationship Type="http://schemas.openxmlformats.org/officeDocument/2006/relationships/hyperlink" Id="rId98" Target="22.pdf" TargetMode="External" /><Relationship Type="http://schemas.openxmlformats.org/officeDocument/2006/relationships/hyperlink" Id="rId101" Target="23.pdf" TargetMode="External" /><Relationship Type="http://schemas.openxmlformats.org/officeDocument/2006/relationships/hyperlink" Id="rId104" Target="24.pdf" TargetMode="External" /><Relationship Type="http://schemas.openxmlformats.org/officeDocument/2006/relationships/hyperlink" Id="rId107" Target="25.pdf" TargetMode="External" /><Relationship Type="http://schemas.openxmlformats.org/officeDocument/2006/relationships/hyperlink" Id="rId31" Target="2a.pdf" TargetMode="External" /><Relationship Type="http://schemas.openxmlformats.org/officeDocument/2006/relationships/hyperlink" Id="rId34" Target="3.pdf" TargetMode="External" /><Relationship Type="http://schemas.openxmlformats.org/officeDocument/2006/relationships/hyperlink" Id="rId36" Target="3a.pdf" TargetMode="External" /><Relationship Type="http://schemas.openxmlformats.org/officeDocument/2006/relationships/hyperlink" Id="rId39" Target="4.pdf" TargetMode="External" /><Relationship Type="http://schemas.openxmlformats.org/officeDocument/2006/relationships/hyperlink" Id="rId42" Target="5.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35" Target="http://dgtimes.timedg.com/html/2013-11/29/content_1227198.htm?div=-1" TargetMode="External" /><Relationship Type="http://schemas.openxmlformats.org/officeDocument/2006/relationships/hyperlink" Id="rId94" Target="http://epaper.stcn.com/paper/zqsb/html/epaper/index/content_522060.htm" TargetMode="External" /><Relationship Type="http://schemas.openxmlformats.org/officeDocument/2006/relationships/hyperlink" Id="rId80" Target="http://epaper.stcn.com/paper/zqsb/html/epaper/index/content_522068.htm" TargetMode="External" /><Relationship Type="http://schemas.openxmlformats.org/officeDocument/2006/relationships/hyperlink" Id="rId64" Target="http://epaper.stcn.com/paper/zqsb/html/epaper/index/content_522293.htm" TargetMode="External" /><Relationship Type="http://schemas.openxmlformats.org/officeDocument/2006/relationships/hyperlink" Id="rId87" Target="http://epaper.stcn.com/paper/zqsb/html/epaper/index/content_522294.htm" TargetMode="External" /><Relationship Type="http://schemas.openxmlformats.org/officeDocument/2006/relationships/hyperlink" Id="rId83" Target="http://epaper.stcn.com/paper/zqsb/html/epaper/index/content_522319.htm" TargetMode="External" /><Relationship Type="http://schemas.openxmlformats.org/officeDocument/2006/relationships/hyperlink" Id="rId70" Target="http://epaper.stcn.com/paper/zqsb/html/epaper/index/content_522936.htm" TargetMode="External" /><Relationship Type="http://schemas.openxmlformats.org/officeDocument/2006/relationships/hyperlink" Id="rId97" Target="http://epaper.stcn.com/paper/zqsb/html/epaper/index/content_522939.htm" TargetMode="External" /><Relationship Type="http://schemas.openxmlformats.org/officeDocument/2006/relationships/hyperlink" Id="rId91" Target="http://finance.sina.com.cn/chanjing/gsnews/20131128/001017456778.shtml" TargetMode="External" /><Relationship Type="http://schemas.openxmlformats.org/officeDocument/2006/relationships/hyperlink" Id="rId53" Target="http://jjs.mof.gov.cn/zhuantilanmu/liangshianquan/201311/t20131126_1016657.html" TargetMode="External" /><Relationship Type="http://schemas.openxmlformats.org/officeDocument/2006/relationships/hyperlink" Id="rId50" Target="http://www.amac.org.cn/xhgg/zlgzfb/385266.shtml" TargetMode="External" /><Relationship Type="http://schemas.openxmlformats.org/officeDocument/2006/relationships/hyperlink" Id="rId38" Target="http://www.cbrc.gov.cn/chinese/home/docDOC_ReadView/7DCD73987BB64DC3A412DBD6BC2839ED.html" TargetMode="External" /><Relationship Type="http://schemas.openxmlformats.org/officeDocument/2006/relationships/hyperlink" Id="rId21" Target="http://www.charltonslaw.com.cn/china-news-alerts-cn-issue-384/" TargetMode="External" /><Relationship Type="http://schemas.openxmlformats.org/officeDocument/2006/relationships/hyperlink" Id="rId28" Target="http://www.chinaclear.cn/zdjs/tzgg/201311/2fb43970363a4507b51cf378625a3280.shtml" TargetMode="External" /><Relationship Type="http://schemas.openxmlformats.org/officeDocument/2006/relationships/hyperlink" Id="rId100" Target="http://www.chinacourt.org/article/detail/2013/11/id/1152212.shtml" TargetMode="External" /><Relationship Type="http://schemas.openxmlformats.org/officeDocument/2006/relationships/hyperlink" Id="rId103" Target="http://www.chinacourt.org/article/detail/2013/11/id/1152225.shtml" TargetMode="External" /><Relationship Type="http://schemas.openxmlformats.org/officeDocument/2006/relationships/hyperlink" Id="rId30" Target="http://www.cs.com.cn/xwzx/zq/201311/t20131126_4221462.html" TargetMode="External" /><Relationship Type="http://schemas.openxmlformats.org/officeDocument/2006/relationships/hyperlink" Id="rId44" Target="http://www.dce.com.cn/portal/info?cid=1272437227100&amp;iid=1385534267100&amp;type=CMS.OPERATION_NOTIFY" TargetMode="External" /><Relationship Type="http://schemas.openxmlformats.org/officeDocument/2006/relationships/hyperlink" Id="rId41" Target="http://www.dce.com.cn/portal/info?cid=1272437227100&amp;iid=1385606288100&amp;type=CMS.OPERATION_NOTIFY" TargetMode="External" /><Relationship Type="http://schemas.openxmlformats.org/officeDocument/2006/relationships/hyperlink" Id="rId25" Target="http://www.gov.cn/ldhd/2013-10/27/content_2516227.htm" TargetMode="External" /><Relationship Type="http://schemas.openxmlformats.org/officeDocument/2006/relationships/hyperlink" Id="rId57" Target="http://www.gov.cn/ldhd/2013-11/26/content_2535195.htm" TargetMode="External" /><Relationship Type="http://schemas.openxmlformats.org/officeDocument/2006/relationships/hyperlink" Id="rId76" Target="http://www.gov.cn/zwgk/2013-11/26/content_2534836.htm" TargetMode="External" /><Relationship Type="http://schemas.openxmlformats.org/officeDocument/2006/relationships/hyperlink" Id="rId67" Target="http://www.gov.cn/zwgk/2013-11/28/content_2536862.htm" TargetMode="External" /><Relationship Type="http://schemas.openxmlformats.org/officeDocument/2006/relationships/hyperlink" Id="rId61" Target="http://www.mofcom.gov.cn/article/b/fwzl/201311/20131100403911.shtml" TargetMode="External" /><Relationship Type="http://schemas.openxmlformats.org/officeDocument/2006/relationships/hyperlink" Id="rId106" Target="http://www.nhfpc.gov.cn/fzs/fzxcjyzc/201311/85e9fad01b7043fab6a056387dc1444f.shtml" TargetMode="External" /><Relationship Type="http://schemas.openxmlformats.org/officeDocument/2006/relationships/hyperlink" Id="rId47" Target="http://www.shfe.com.cn/docview/docview_310271947.htm" TargetMode="External" /><Relationship Type="http://schemas.openxmlformats.org/officeDocument/2006/relationships/hyperlink" Id="rId33" Target="http://www1.dg.gov.cn/publicfiles/business/htmlfiles/cndg/s1272/201311/699920.htm" TargetMode="External" /><Relationship Type="http://schemas.openxmlformats.org/officeDocument/2006/relationships/hyperlink" Id="rId73" Target="http://zhs.mof.gov.cn/zhengwuxinxi/zhengcefabu/201311/t20131126_1016414.html" TargetMode="External" /><Relationship Type="http://schemas.openxmlformats.org/officeDocument/2006/relationships/hyperlink" Id="rId10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81" Target="17.pdf" TargetMode="External" /><Relationship Type="http://schemas.openxmlformats.org/officeDocument/2006/relationships/hyperlink" Id="rId84" Target="18.pdf" TargetMode="External" /><Relationship Type="http://schemas.openxmlformats.org/officeDocument/2006/relationships/hyperlink" Id="rId88" Target="19.pdf" TargetMode="External" /><Relationship Type="http://schemas.openxmlformats.org/officeDocument/2006/relationships/hyperlink" Id="rId29" Target="2.pdf" TargetMode="External" /><Relationship Type="http://schemas.openxmlformats.org/officeDocument/2006/relationships/hyperlink" Id="rId92" Target="20.pdf" TargetMode="External" /><Relationship Type="http://schemas.openxmlformats.org/officeDocument/2006/relationships/hyperlink" Id="rId95" Target="21.pdf" TargetMode="External" /><Relationship Type="http://schemas.openxmlformats.org/officeDocument/2006/relationships/hyperlink" Id="rId98" Target="22.pdf" TargetMode="External" /><Relationship Type="http://schemas.openxmlformats.org/officeDocument/2006/relationships/hyperlink" Id="rId101" Target="23.pdf" TargetMode="External" /><Relationship Type="http://schemas.openxmlformats.org/officeDocument/2006/relationships/hyperlink" Id="rId104" Target="24.pdf" TargetMode="External" /><Relationship Type="http://schemas.openxmlformats.org/officeDocument/2006/relationships/hyperlink" Id="rId107" Target="25.pdf" TargetMode="External" /><Relationship Type="http://schemas.openxmlformats.org/officeDocument/2006/relationships/hyperlink" Id="rId31" Target="2a.pdf" TargetMode="External" /><Relationship Type="http://schemas.openxmlformats.org/officeDocument/2006/relationships/hyperlink" Id="rId34" Target="3.pdf" TargetMode="External" /><Relationship Type="http://schemas.openxmlformats.org/officeDocument/2006/relationships/hyperlink" Id="rId36" Target="3a.pdf" TargetMode="External" /><Relationship Type="http://schemas.openxmlformats.org/officeDocument/2006/relationships/hyperlink" Id="rId39" Target="4.pdf" TargetMode="External" /><Relationship Type="http://schemas.openxmlformats.org/officeDocument/2006/relationships/hyperlink" Id="rId42" Target="5.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35" Target="http://dgtimes.timedg.com/html/2013-11/29/content_1227198.htm?div=-1" TargetMode="External" /><Relationship Type="http://schemas.openxmlformats.org/officeDocument/2006/relationships/hyperlink" Id="rId94" Target="http://epaper.stcn.com/paper/zqsb/html/epaper/index/content_522060.htm" TargetMode="External" /><Relationship Type="http://schemas.openxmlformats.org/officeDocument/2006/relationships/hyperlink" Id="rId80" Target="http://epaper.stcn.com/paper/zqsb/html/epaper/index/content_522068.htm" TargetMode="External" /><Relationship Type="http://schemas.openxmlformats.org/officeDocument/2006/relationships/hyperlink" Id="rId64" Target="http://epaper.stcn.com/paper/zqsb/html/epaper/index/content_522293.htm" TargetMode="External" /><Relationship Type="http://schemas.openxmlformats.org/officeDocument/2006/relationships/hyperlink" Id="rId87" Target="http://epaper.stcn.com/paper/zqsb/html/epaper/index/content_522294.htm" TargetMode="External" /><Relationship Type="http://schemas.openxmlformats.org/officeDocument/2006/relationships/hyperlink" Id="rId83" Target="http://epaper.stcn.com/paper/zqsb/html/epaper/index/content_522319.htm" TargetMode="External" /><Relationship Type="http://schemas.openxmlformats.org/officeDocument/2006/relationships/hyperlink" Id="rId70" Target="http://epaper.stcn.com/paper/zqsb/html/epaper/index/content_522936.htm" TargetMode="External" /><Relationship Type="http://schemas.openxmlformats.org/officeDocument/2006/relationships/hyperlink" Id="rId97" Target="http://epaper.stcn.com/paper/zqsb/html/epaper/index/content_522939.htm" TargetMode="External" /><Relationship Type="http://schemas.openxmlformats.org/officeDocument/2006/relationships/hyperlink" Id="rId91" Target="http://finance.sina.com.cn/chanjing/gsnews/20131128/001017456778.shtml" TargetMode="External" /><Relationship Type="http://schemas.openxmlformats.org/officeDocument/2006/relationships/hyperlink" Id="rId53" Target="http://jjs.mof.gov.cn/zhuantilanmu/liangshianquan/201311/t20131126_1016657.html" TargetMode="External" /><Relationship Type="http://schemas.openxmlformats.org/officeDocument/2006/relationships/hyperlink" Id="rId50" Target="http://www.amac.org.cn/xhgg/zlgzfb/385266.shtml" TargetMode="External" /><Relationship Type="http://schemas.openxmlformats.org/officeDocument/2006/relationships/hyperlink" Id="rId38" Target="http://www.cbrc.gov.cn/chinese/home/docDOC_ReadView/7DCD73987BB64DC3A412DBD6BC2839ED.html" TargetMode="External" /><Relationship Type="http://schemas.openxmlformats.org/officeDocument/2006/relationships/hyperlink" Id="rId21" Target="http://www.charltonslaw.com.cn/china-news-alerts-cn-issue-384/" TargetMode="External" /><Relationship Type="http://schemas.openxmlformats.org/officeDocument/2006/relationships/hyperlink" Id="rId28" Target="http://www.chinaclear.cn/zdjs/tzgg/201311/2fb43970363a4507b51cf378625a3280.shtml" TargetMode="External" /><Relationship Type="http://schemas.openxmlformats.org/officeDocument/2006/relationships/hyperlink" Id="rId100" Target="http://www.chinacourt.org/article/detail/2013/11/id/1152212.shtml" TargetMode="External" /><Relationship Type="http://schemas.openxmlformats.org/officeDocument/2006/relationships/hyperlink" Id="rId103" Target="http://www.chinacourt.org/article/detail/2013/11/id/1152225.shtml" TargetMode="External" /><Relationship Type="http://schemas.openxmlformats.org/officeDocument/2006/relationships/hyperlink" Id="rId30" Target="http://www.cs.com.cn/xwzx/zq/201311/t20131126_4221462.html" TargetMode="External" /><Relationship Type="http://schemas.openxmlformats.org/officeDocument/2006/relationships/hyperlink" Id="rId44" Target="http://www.dce.com.cn/portal/info?cid=1272437227100&amp;iid=1385534267100&amp;type=CMS.OPERATION_NOTIFY" TargetMode="External" /><Relationship Type="http://schemas.openxmlformats.org/officeDocument/2006/relationships/hyperlink" Id="rId41" Target="http://www.dce.com.cn/portal/info?cid=1272437227100&amp;iid=1385606288100&amp;type=CMS.OPERATION_NOTIFY" TargetMode="External" /><Relationship Type="http://schemas.openxmlformats.org/officeDocument/2006/relationships/hyperlink" Id="rId25" Target="http://www.gov.cn/ldhd/2013-10/27/content_2516227.htm" TargetMode="External" /><Relationship Type="http://schemas.openxmlformats.org/officeDocument/2006/relationships/hyperlink" Id="rId57" Target="http://www.gov.cn/ldhd/2013-11/26/content_2535195.htm" TargetMode="External" /><Relationship Type="http://schemas.openxmlformats.org/officeDocument/2006/relationships/hyperlink" Id="rId76" Target="http://www.gov.cn/zwgk/2013-11/26/content_2534836.htm" TargetMode="External" /><Relationship Type="http://schemas.openxmlformats.org/officeDocument/2006/relationships/hyperlink" Id="rId67" Target="http://www.gov.cn/zwgk/2013-11/28/content_2536862.htm" TargetMode="External" /><Relationship Type="http://schemas.openxmlformats.org/officeDocument/2006/relationships/hyperlink" Id="rId61" Target="http://www.mofcom.gov.cn/article/b/fwzl/201311/20131100403911.shtml" TargetMode="External" /><Relationship Type="http://schemas.openxmlformats.org/officeDocument/2006/relationships/hyperlink" Id="rId106" Target="http://www.nhfpc.gov.cn/fzs/fzxcjyzc/201311/85e9fad01b7043fab6a056387dc1444f.shtml" TargetMode="External" /><Relationship Type="http://schemas.openxmlformats.org/officeDocument/2006/relationships/hyperlink" Id="rId47" Target="http://www.shfe.com.cn/docview/docview_310271947.htm" TargetMode="External" /><Relationship Type="http://schemas.openxmlformats.org/officeDocument/2006/relationships/hyperlink" Id="rId33" Target="http://www1.dg.gov.cn/publicfiles/business/htmlfiles/cndg/s1272/201311/699920.htm" TargetMode="External" /><Relationship Type="http://schemas.openxmlformats.org/officeDocument/2006/relationships/hyperlink" Id="rId73" Target="http://zhs.mof.gov.cn/zhengwuxinxi/zhengcefabu/201311/t20131126_1016414.html" TargetMode="External" /><Relationship Type="http://schemas.openxmlformats.org/officeDocument/2006/relationships/hyperlink" Id="rId10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第384期 - 2013年12月02日</dc:title>
  <dc:creator/>
</cp:coreProperties>
</file>