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第386期</w:t>
      </w:r>
      <w:r>
        <w:t xml:space="preserve"> </w:t>
      </w:r>
      <w:r>
        <w:t xml:space="preserve">-</w:t>
      </w:r>
      <w:r>
        <w:t xml:space="preserve"> </w:t>
      </w:r>
      <w:r>
        <w:t xml:space="preserve">2013年12月13日</w:t>
      </w:r>
    </w:p>
    <w:p>
      <w:hyperlink r:id="rId21">
        <w:r>
          <w:rPr>
            <w:rStyle w:val="Link"/>
          </w:rPr>
          <w:t xml:space="preserve">网络版</w:t>
        </w:r>
      </w:hyperlink>
    </w:p>
    <w:p>
      <w:pPr>
        <w:pStyle w:val="Heading1"/>
      </w:pPr>
      <w:bookmarkStart w:id="22" w:name="法讯中国第386期"/>
      <w:bookmarkEnd w:id="22"/>
      <w:r>
        <w:t xml:space="preserve">法讯中国第386期</w:t>
      </w:r>
    </w:p>
    <w:p>
      <w:pPr>
        <w:pStyle w:val="Heading2"/>
      </w:pPr>
      <w:bookmarkStart w:id="23" w:name="资本市场"/>
      <w:bookmarkEnd w:id="23"/>
      <w:r>
        <w:t xml:space="preserve">资本市场</w:t>
      </w:r>
    </w:p>
    <w:p>
      <w:pPr>
        <w:pStyle w:val="Heading3"/>
      </w:pPr>
      <w:bookmarkStart w:id="24" w:name="港交所将为中小券商提供部分免费报价服务"/>
      <w:bookmarkEnd w:id="24"/>
      <w:r>
        <w:t xml:space="preserve">港交所将为中小券商提供部分免费报价服务</w:t>
      </w:r>
    </w:p>
    <w:p>
      <w:r>
        <w:t xml:space="preserve">港交所行政总裁李小加12月9日宣布，为舒缓中小型证券商的营运压力，港交所决定将于明年开始对每家券商前10台股票机提供免费报价服务。李小加强调，港交所理解业界特别是中小型券商仍处于困难时期，估计此项免费措施将可令券商因股票机所涉及的报价成本减低约20%。业内人士估计，以目前香港约有500个券商、平均每家证券公司使用50台股票机计，港交所将因此每年少收1200万港元。</w:t>
      </w:r>
    </w:p>
    <w:p>
      <w:r>
        <w:t xml:space="preserve">香港立法会金融服务界议员张华峰表示，香港券商业界欢迎港交所作出此项决定，希望日后港交所可以继续推出协助券商减低成本的措施。</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央行发布同业存单管理暂行办法"/>
      <w:bookmarkEnd w:id="27"/>
      <w:r>
        <w:t xml:space="preserve">央行发布《同业存单管理暂行办法》</w:t>
      </w:r>
    </w:p>
    <w:p>
      <w:r>
        <w:t xml:space="preserve">12月7日，央行发布《同业存单管理暂行办法》（公告〔2013〕第20号），自2013年12月9日起施行。</w:t>
      </w:r>
    </w:p>
    <w:p>
      <w:r>
        <w:t xml:space="preserve">《办法》共21条，规定同业存单是指由银行业存款类金融机构法人在全国银行间市场上发行的记账式定期存款凭证，是一种货币市场工具。</w:t>
      </w:r>
    </w:p>
    <w:p>
      <w:r>
        <w:t xml:space="preserve">《办法》规定：同业存单的发行利率、发行价格等以市场化方式确定。其中，固定利率存单期限原则上不超过1年，为1个月、3个月、6个月、9个月和1年，参考同期限上海银行间同业拆借利率定价。浮动利率存单以上海银行间同业拆借利率为浮动利率基准计息，期限原则上在1年以上，包括1年、2年和3年。</w:t>
      </w:r>
    </w:p>
    <w:p>
      <w:r>
        <w:t xml:space="preserve">[来源](http://www.pbc.gov.cn/</w:t>
      </w:r>
      <w:r>
        <w:t xml:space="preserve"> </w:t>
      </w:r>
      <w:hyperlink r:id="rId28">
        <w:r>
          <w:rPr>
            <w:rStyle w:val="Link"/>
          </w:rPr>
          <w:t xml:space="preserve">副本</w:t>
        </w:r>
      </w:hyperlink>
    </w:p>
    <w:p>
      <w:pPr>
        <w:pStyle w:val="Heading3"/>
      </w:pPr>
      <w:bookmarkStart w:id="29" w:name="前海股交中心启动企业自主发行私募债"/>
      <w:bookmarkEnd w:id="29"/>
      <w:r>
        <w:t xml:space="preserve">前海股交中心启动企业自主发行私募债</w:t>
      </w:r>
    </w:p>
    <w:p>
      <w:r>
        <w:t xml:space="preserve">前海股权交易中心近日发布了《前海股权交易中心梧桐私募债业务规则（试行）》，明确了企业可自主发行私募债，为企业提供了便捷高效的融资途径。</w:t>
      </w:r>
    </w:p>
    <w:p>
      <w:r>
        <w:t xml:space="preserve">前海股交中心发布的《规则》主要内容包括：企业可以自主发行私募债；产品设计及参与机构可以进行模块化管理；投资人分类准入与产品适配；发行方式将分为定向发行和募集发行；储架发行模式；私募债后期管理机制；信用评价机制等。</w:t>
      </w:r>
    </w:p>
    <w:p>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3"/>
      </w:pPr>
      <w:bookmarkStart w:id="32" w:name="潍坊发布金创33条-山东金改进入全面落实阶段"/>
      <w:bookmarkEnd w:id="32"/>
      <w:r>
        <w:t xml:space="preserve">潍坊发布“金创33条” 山东金改进入全面落实阶段</w:t>
      </w:r>
    </w:p>
    <w:p>
      <w:r>
        <w:t xml:space="preserve">12月10日，潍坊市召开全市金融工作会议。会上，潍坊市委、市政府联合下发《关于进一步加快全市金融创新发展的若干意见》，共分为六大板块、33条。《意见》指出，争取到2017年底，全市金融业增加值占生产总值比重达到8%以上、占服务业增加值比重达到20%以上，初步建成金融创新活跃、草根金融发达、特色业态鲜明的金融强市和金融名市。</w:t>
      </w:r>
    </w:p>
    <w:p>
      <w:r>
        <w:t xml:space="preserve">内容涉及多层次金融市场投融资功能、大力发展地方金融机构和中介组织、稳步发展新型金融业态和金融要素市场、打造山东省农村金融改革创新试验区、提升对重点领域和产业金融服务能力、改善金融环境等六大板块方面。此次“金创33条”的出台具有承上启下的特点，是山东金改22条意见在地方的落地，同时又做了创新发展，“接地气”成为此次金融创新的一大亮点，标志着山东金融改革进入全面落实阶段。</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中国结算公布券款对付业务实施细则"/>
      <w:bookmarkEnd w:id="35"/>
      <w:r>
        <w:t xml:space="preserve">中国结算公布《券款对付业务实施细则》</w:t>
      </w:r>
    </w:p>
    <w:p>
      <w:r>
        <w:t xml:space="preserve">12月9日，中央国债登记结算有限责任公司公布《券款对付业务实施细则》并明确办理券款对付结算业务有关事宜。</w:t>
      </w:r>
    </w:p>
    <w:p>
      <w:r>
        <w:t xml:space="preserve">根据规定，自12月9日起，结算成员新发起的现券、质押式回购、买断式回购、远期交易、债券借贷、债券分销共六类债券业务应采用DVP方式办理结算，中国结算将不再受理非DVP方式的债券结算（中国人民银行另有规定的除外）。</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基金参与国债预发行交易核算估值指引发布"/>
      <w:bookmarkEnd w:id="38"/>
      <w:r>
        <w:t xml:space="preserve">基金参与国债预发行交易核算估值指引发布</w:t>
      </w:r>
    </w:p>
    <w:p>
      <w:r>
        <w:t xml:space="preserve">12月9日，中国证券投资基金业协会发布消息称，《证券投资基金参与国债预发行交易会计核算和估值业务指引（试行）》于12月5日发布，自发布起实施。</w:t>
      </w:r>
    </w:p>
    <w:p>
      <w:r>
        <w:t xml:space="preserve">《指引》包括总则、会计核算原则、估值原则三部分。基金管理人可参照本指引进行账务处理。</w:t>
      </w:r>
    </w:p>
    <w:p>
      <w:r>
        <w:t xml:space="preserve">《指引》规定：国债预发行交易，是指在记账式国债招标日前特定期间进行交易，并在国债招标完成后进行交收的债券买卖行为。国债招标日前四个法定工作日至招标日前一个法定工作日期间的上交所交易日，可以进行国债预发行交易。同时，《指引》还明确了采用利率招标的首次发行国债以及采用价格招标的续发行国债的账务处理方法。</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外汇局发文完善银行贸易融资业务外汇管理"/>
      <w:bookmarkEnd w:id="41"/>
      <w:r>
        <w:t xml:space="preserve">外汇局发文完善银行贸易融资业务外汇管理</w:t>
      </w:r>
    </w:p>
    <w:p>
      <w:r>
        <w:t xml:space="preserve">12月6日，外汇局发布《关于完善银行贸易融资业务外汇管理有关问题的通知》，自下发之日起实施。该《通知》于12月7日于外汇局网站公布。</w:t>
      </w:r>
    </w:p>
    <w:p>
      <w:r>
        <w:t xml:space="preserve">《通知》要求督促银行完善贸易融资真实性、合规性审核；加强企业分类管理，营造公平有序的市场环境；加大对银行、企业违规行为的处罚力度。</w:t>
      </w:r>
    </w:p>
    <w:p>
      <w:r>
        <w:t xml:space="preserve">《通知》还指出，外汇局加大对贸易收支异常企业，特别是远期贸易融资规模异常增长且具有典型套利交易特征企业的监测核查力度，按照货物贸易外汇管理有关规定进行分类管理，对守法合规的企业继续给予最大程度的便利化支持，对列为B类或C类的企业予以重点监管。</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老旧船舶提前退休可获补贴"/>
      <w:bookmarkEnd w:id="45"/>
      <w:r>
        <w:t xml:space="preserve">老旧船舶提前退休可获补贴</w:t>
      </w:r>
    </w:p>
    <w:p>
      <w:r>
        <w:t xml:space="preserve">交通部近日联合财政部、国家发改委以及工信部发布《老旧运输船舶和单壳油轮提前报废更新实施方案》。中央将安排专项资金按1500元/总吨的基准对报废更新的船舶补助，补助按各50%的比例分别在完成拆船和造船后分两次发放。</w:t>
      </w:r>
    </w:p>
    <w:p>
      <w:r>
        <w:t xml:space="preserve">自2013年1月1日至2015年12月31日期间拆解完毕的老旧运输船舶和单壳油轮，以及拆解后更新的船舶均可参加补贴项目。其中，参加补贴的单壳油轮应不小于600载重吨，其他运输船舶不小于1000总吨。</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七部门开展电视购物专项整治-媒体需核实广告内容"/>
      <w:bookmarkEnd w:id="48"/>
      <w:r>
        <w:t xml:space="preserve">七部门开展电视购物专项整治 媒体需核实广告内容</w:t>
      </w:r>
    </w:p>
    <w:p>
      <w:r>
        <w:t xml:space="preserve">商务部网站12月10日发布消息称，商务部、工信部、公安部、工商总局、质检总局、新闻出版广电总局、食品药品监管总局日前联合发布《关于开展电视购物专项整治工作的通知》，决定自2013年12月至2014年6月在全国集中开展电视购物专项整治。</w:t>
      </w:r>
    </w:p>
    <w:p>
      <w:r>
        <w:t xml:space="preserve">《通知》要求，电视媒体在发布电视购物广告前，应当依法查验有关证明文件，核实广告内容。不得发布未提供产品质量检验合格证明产品的电视购物广告。《通知》明确，整治内容主要包括以下几方面：1、严厉打击电视购物领域的违法犯罪行为。2、严格监管电视购物经营行为。3、加强电视购物频道诚信服务建设。4、加大宣传教育和社会监督力度。5、建立健全促进行业规范发展的长效机制。</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国办要求加强农产品质量安全监管工作"/>
      <w:bookmarkEnd w:id="51"/>
      <w:r>
        <w:t xml:space="preserve">国办要求加强农产品质量安全监管工作</w:t>
      </w:r>
    </w:p>
    <w:p>
      <w:r>
        <w:t xml:space="preserve">国务院网站12月11日发布《国务院办公厅关于加强农产品质量安全监管工作的通知》，要求加强农产品质量安全监管工作。 《通知》指出，通过六大方面任务来加强农产品质量监管，包括强化属地管理责任；落实监管任务；推进农业标准化生产；加强畜禽屠宰环节监管；深入开展专项治理；以及提高监管能力。</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商务部公布明年羊毛毛条进口国别配额"/>
      <w:bookmarkEnd w:id="54"/>
      <w:r>
        <w:t xml:space="preserve">商务部公布明年羊毛毛条进口国别配额</w:t>
      </w:r>
    </w:p>
    <w:p>
      <w:r>
        <w:t xml:space="preserve">商务部12月10日发布消息称，商务部、海关总署日前发布2013年第86号公告，公布《2014年羊毛、毛条进口国别关税配额管理实施细则》。</w:t>
      </w:r>
    </w:p>
    <w:p>
      <w:r>
        <w:t xml:space="preserve">《细则》明确：国别配额实行凭合同“先来先领“的分配方式。申请者凭羊毛、毛条进口合同以及有关材料向工商注册所在地的商务部授权机构提交国别配额申请（含加工贸易）。国别配额持有者进口时，应据实向海关申报进口羊毛的洗净/公定数量，并提交相关《农产品进口关税配额证》。经海关审核确认并符合《中新自贸协定》有关规定的，可适用《中新自贸协定》协定税率；若不符合《中新自贸协定》有关规定，则适用最惠国税率或普通税率。</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家发改委指导2014年煤炭产运需衔接工作"/>
      <w:bookmarkEnd w:id="57"/>
      <w:r>
        <w:t xml:space="preserve">国家发改委指导2014年煤炭产运需衔接工作</w:t>
      </w:r>
    </w:p>
    <w:p>
      <w:r>
        <w:t xml:space="preserve">12月9日，国家发改委发布《关于指导做好2014年煤炭产运需衔接工作的通知》。</w:t>
      </w:r>
    </w:p>
    <w:p>
      <w:r>
        <w:t xml:space="preserve">《通知》要求，在开展产运需衔接工作中，充分尊重企业市场主体地位，凡依法生产经营的煤炭、用户企业，均可自主参与衔接，严禁不具备安全生产条件、严重污染环境、不符合产业政策等违法违规的企业参与衔接。</w:t>
      </w:r>
    </w:p>
    <w:p>
      <w:r>
        <w:t xml:space="preserve">《通知》指出，对供需双方签订并确认运力的跨省区年度、中长期电煤合同，由发展改革委、交通运输部和铁路总公司予以备案，作为日常调节、市场监管、合同履行检查的依据。</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中央国有资本经营预算重点产业转型升级与发展资金管理办法出台"/>
      <w:bookmarkEnd w:id="60"/>
      <w:r>
        <w:t xml:space="preserve">《中央国有资本经营预算重点产业转型升级与发展资金管理办法》出台</w:t>
      </w:r>
    </w:p>
    <w:p>
      <w:r>
        <w:t xml:space="preserve">财政部网站12月10日消息，财政部日前印发《中央国有资本经营预算重点产业转型升级与发展资金管理办法》。</w:t>
      </w:r>
    </w:p>
    <w:p>
      <w:r>
        <w:t xml:space="preserve">《办法》明确，产业升级资金主要用于支持装备制造、生物医药、现代种业、钢铁、石化、有色金属等关系国家战略的重点产业转型升级与发展。</w:t>
      </w:r>
    </w:p>
    <w:p>
      <w:r>
        <w:t xml:space="preserve">产业升级资金采取资本投入方式，资本投入额度原则上不超过项目总投资额的30%。产业升级资金支持的项目执行期限一般不超过3年，最长不超过5年。</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税收"/>
      <w:bookmarkEnd w:id="63"/>
      <w:r>
        <w:t xml:space="preserve">税收</w:t>
      </w:r>
    </w:p>
    <w:p>
      <w:pPr>
        <w:pStyle w:val="Heading3"/>
      </w:pPr>
      <w:bookmarkStart w:id="64" w:name="多种进口商品关税明年起降60"/>
      <w:bookmarkEnd w:id="64"/>
      <w:r>
        <w:t xml:space="preserve">760多种进口商品关税明年起降60%</w:t>
      </w:r>
    </w:p>
    <w:p>
      <w:r>
        <w:t xml:space="preserve">财政部12月11日发布消息称，经国务院关税税则委员会审议，国务院批准，自2014年1月1日起，中国将对进出口关税进行部分调整。</w:t>
      </w:r>
    </w:p>
    <w:p>
      <w:r>
        <w:t xml:space="preserve">2014年中国将对760多种进口商品实施低于最惠国税率的年度进口暂定税率，平均优惠幅度达60%。其中，新增和进一步降低税率的产品包括活塞航空发动机、手机和平板电脑取像模块等战略性新兴产业所需的设备、零部件和原材料；天然牧草等支农惠农产品；音频生命探测仪等救灾用品等。</w:t>
      </w:r>
    </w:p>
    <w:p>
      <w:r>
        <w:t xml:space="preserve">同时，为充分发挥关税推动产业结构调整的作用，根据国内产业发展和转型升级的变化情况，2014年光导纤维预制棒、多点喷射涡轮增压汽油机等部分商品将不再实施年度进口暂定税率。</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明年铁路运输邮政服务业纳入营业税改征增值税试点"/>
      <w:bookmarkEnd w:id="67"/>
      <w:r>
        <w:t xml:space="preserve">明年铁路运输邮政服务业纳入营业税改征增值税试点</w:t>
      </w:r>
    </w:p>
    <w:p>
      <w:r>
        <w:t xml:space="preserve">国家税务总局12月9日发布《国家税务总局关于做好铁路运输和邮政服务业营业税改征增值税试点工作的通知》，公布各省市税务机关《铁路运输和邮政服务业营改增任务分解表》，铁路运输和邮政服务业营改增试点自2014年1月1日起实施。</w:t>
      </w:r>
    </w:p>
    <w:p>
      <w:r>
        <w:t xml:space="preserve">12月31日前，试点纳税人申报方式确认、试点纳税人应税服务计税方式确认、增值税优惠政策资格确认、跨境应税服务退免税资格确认、税库银扣款协议签署。</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保险"/>
      <w:bookmarkEnd w:id="70"/>
      <w:r>
        <w:t xml:space="preserve">保险</w:t>
      </w:r>
    </w:p>
    <w:p>
      <w:pPr>
        <w:pStyle w:val="Heading3"/>
      </w:pPr>
      <w:bookmarkStart w:id="71" w:name="保监会发布关于自保公司监管有关问题的通知"/>
      <w:bookmarkEnd w:id="71"/>
      <w:r>
        <w:t xml:space="preserve">保监会发布《关于自保公司监管有关问题的通知》</w:t>
      </w:r>
    </w:p>
    <w:p>
      <w:r>
        <w:t xml:space="preserve">12月11日，保监会网站发布《关于自保公司监管有关问题的通知》。（以下简称《通知》）。</w:t>
      </w:r>
    </w:p>
    <w:p>
      <w:r>
        <w:t xml:space="preserve">《通知》明确，设立自保公司，除法律法规规定的保险公司相关条件外，还应当具备下列条件：注册资本应当与公司承担的风险相匹配；投资人应为主营业务突出、盈利状况良好的大型工商企业，且资产总额不低于人民币1000亿元；投资人所处行业应具有风险集中度高、地域分布广、风险转移难等特征，且具有稳定的保险保障需求和较强的风险管控能力。</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2"/>
      </w:pPr>
      <w:bookmarkStart w:id="74" w:name="并购"/>
      <w:bookmarkEnd w:id="74"/>
      <w:r>
        <w:t xml:space="preserve">并购</w:t>
      </w:r>
    </w:p>
    <w:p>
      <w:pPr>
        <w:pStyle w:val="Heading3"/>
      </w:pPr>
      <w:bookmarkStart w:id="75" w:name="英唐智控6.5亿收购华力特"/>
      <w:bookmarkEnd w:id="75"/>
      <w:r>
        <w:t xml:space="preserve">英唐智控6.5亿收购华力特</w:t>
      </w:r>
    </w:p>
    <w:p>
      <w:r>
        <w:t xml:space="preserve">英唐智控（300131）今日发布重组预案，拟以发行股份的方式购买华力特100%的股权。公司股票已于9月13日起停牌，今日复牌。</w:t>
      </w:r>
    </w:p>
    <w:p>
      <w:r>
        <w:t xml:space="preserve">华力特100%股权的预估值约为6.5亿元，截至2013年6月30日未经审计的净资产账面价值3.45亿元，评估增值率约为86.39%。公司拟以每股不低于9.4元的价格，向屠方魁等18名交易对方发行不超过6914.89万股用于支付对价。此外，公司拟非公开发行不超过2482.27万股，募集配套资金不超过2.1亿元。</w:t>
      </w:r>
    </w:p>
    <w:p>
      <w:r>
        <w:t xml:space="preserve">华力特是以智能变配电技术为核心的能源信息一体化系统解决方案提供商，其在中性点电阻接地装置处于国内领先地位，定价能力较强。此前，华力特曾两次申请中小板首次公开发行均未成行。据华力特的初步盈利预测及预估值结果，华力特2014年度、2015年度和2016年度实现的税后净利润将分别不低于5800万元、6800万元、8200万元。</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海南航空收购祥鹏航空52.9股权"/>
      <w:bookmarkEnd w:id="78"/>
      <w:r>
        <w:t xml:space="preserve">海南航空收购祥鹏航空52.9%股权</w:t>
      </w:r>
    </w:p>
    <w:p>
      <w:r>
        <w:t xml:space="preserve">海南航空12月12日公告，公司拟以1.82元/股的价格，共计17.02亿元，受让公司控股股东大新华航空有限公司持有的云南祥鹏航空有限责任公司52.9%的股权。</w:t>
      </w:r>
    </w:p>
    <w:p>
      <w:r>
        <w:t xml:space="preserve">此次受让前，海南航空与大新华航空、云南国资委分别持有祥鹏航空33.78%、52.9%、13.32%的股权。受让完成后，海南航空持有祥鹏航空股权比例为86.68%，云南省国资委持有祥鹏航空股权比例为13.32%，海南航空将成为祥鹏航空的控股股东。此次交易构成关联交易，尚需提交股东大会审议。</w:t>
      </w:r>
    </w:p>
    <w:p>
      <w:r>
        <w:t xml:space="preserve">资料显示，祥鹏航空注册和运营基地为昆明市，注册资本17.67亿元，实收资本16.1亿元，云南省国资委尚余部分出资未到位。截至2013年9月30日，祥鹏航空总资产为88.96亿元，净资产为29.19亿元，净利润1.98亿元。</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2"/>
      </w:pPr>
      <w:bookmarkStart w:id="81" w:name="房地产"/>
      <w:bookmarkEnd w:id="81"/>
      <w:r>
        <w:t xml:space="preserve">房地产</w:t>
      </w:r>
    </w:p>
    <w:p>
      <w:pPr>
        <w:pStyle w:val="Heading3"/>
      </w:pPr>
      <w:bookmarkStart w:id="82" w:name="国土部不得借基本农田划定之机擅调规划"/>
      <w:bookmarkEnd w:id="82"/>
      <w:r>
        <w:t xml:space="preserve">国土部：不得借基本农田划定之机擅调规划</w:t>
      </w:r>
    </w:p>
    <w:p>
      <w:r>
        <w:t xml:space="preserve">国土部日前发布的《基本农田数据库建设有关事项的说明》强调，不得借基本农田划定之机擅自调整土地利用总体规划。</w:t>
      </w:r>
    </w:p>
    <w:p>
      <w:r>
        <w:t xml:space="preserve">《说明》强调，基本农田划定是落实土地利用总体规划的重要工作，不得借机擅自调整规划。地方政府批准的土地利用总体规划修改，不得涉及基本农田布局调整，应当严格执行。严禁借基本农田划定之名，为城镇发展或建设占用需要，未经批准修改规划，擅自将基本农田保护区内应予保留的耕地划出。严禁地方借机随意调整基本农田布局。</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2"/>
      </w:pPr>
      <w:bookmarkStart w:id="85" w:name="其他"/>
      <w:bookmarkEnd w:id="85"/>
      <w:r>
        <w:t xml:space="preserve">其他</w:t>
      </w:r>
    </w:p>
    <w:p>
      <w:pPr>
        <w:pStyle w:val="Heading3"/>
      </w:pPr>
      <w:bookmarkStart w:id="86" w:name="国务院再取消和下放68项行政审批项目"/>
      <w:bookmarkEnd w:id="86"/>
      <w:r>
        <w:t xml:space="preserve">国务院再取消和下放68项行政审批项目</w:t>
      </w:r>
    </w:p>
    <w:p>
      <w:r>
        <w:t xml:space="preserve">国务院网站12月10日发布《国务院关于取消和下放一批行政审批项目的决定》，再取消和下放68项行政审批项目（其中有2项属于保密项目，按规定另行通知），并公布82项取消和下放管理层级的行政审批项目目录。</w:t>
      </w:r>
    </w:p>
    <w:p>
      <w:r>
        <w:t xml:space="preserve">国务院还另建议取消和下放7项依据有关法律设立的行政审批项目，将依照法定程序提请全国人民代表大会常务委员会修订相关法律规定。被取消的行政审批项目包括煤炭生产许可证核发、设立煤炭经营企业审批、民办学校聘任校长核准等。</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国务院出台国家级自然保护区调整管理规定"/>
      <w:bookmarkEnd w:id="89"/>
      <w:r>
        <w:t xml:space="preserve">国务院出台《国家级自然保护区调整管理规定》</w:t>
      </w:r>
    </w:p>
    <w:p>
      <w:r>
        <w:t xml:space="preserve">国务院网站12月11日发布《国家级自然保护区调整管理规定》。规定适用于国家级自然保护区的范围调整、功能区调整及更改名称。</w:t>
      </w:r>
    </w:p>
    <w:p>
      <w:r>
        <w:t xml:space="preserve">《规定》限定了 “因自然条件发生变化的；因人类活动频繁的及因国家重大工程建设需要进行调整的” 三类调整理由。《规定》还要求“自然保护区自批准建立之日起，原则上五年内不得进行调整”；“国家级自然保护区因重大工程建设调整后，原则上不得再次调整”。</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财政部出台利用基本医疗保险基金向商业保险机构购买城乡居民大病保险会计核算补充规定"/>
      <w:bookmarkEnd w:id="92"/>
      <w:r>
        <w:t xml:space="preserve">财政部出台《利用基本医疗保险基金向商业保险机构购买城乡居民大病保险会计核算补充规定》</w:t>
      </w:r>
    </w:p>
    <w:p>
      <w:r>
        <w:t xml:space="preserve">财政部网站12月11日消息，经公开征求意见，财政部12月6日正式出台《利用基本医疗保险基金向商业保险机构购买城乡居民大病保险会计核算补充规定》，自2014年1月1日起施行。</w:t>
      </w:r>
    </w:p>
    <w:p>
      <w:r>
        <w:t xml:space="preserve">《补充规定》对《新型农村合作医疗基金会计制度》及对参照执行《社会保险基金会计制度》的城镇居民基本医疗保险会计核算的进行了明确。</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5">
        <w:r>
          <w:rPr>
            <w:rStyle w:val="Link"/>
          </w:rPr>
          <w:t xml:space="preserve">unsubscribe@charltonslaw.com</w:t>
        </w:r>
      </w:hyperlink>
    </w:p>
    <w:p>
      <w:r>
        <w:rPr>
          <w:b/>
        </w:rPr>
        <w:t xml:space="preserve">易周律师行 - 法讯 - 中国 - 第386期 - 2013年12月13日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363149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3" Target="10.pdf" TargetMode="External" /><Relationship Type="http://schemas.openxmlformats.org/officeDocument/2006/relationships/hyperlink" Id="rId56" Target="11.pdf" TargetMode="External" /><Relationship Type="http://schemas.openxmlformats.org/officeDocument/2006/relationships/hyperlink" Id="rId59" Target="12.pdf" TargetMode="External" /><Relationship Type="http://schemas.openxmlformats.org/officeDocument/2006/relationships/hyperlink" Id="rId62" Target="13.pdf" TargetMode="External" /><Relationship Type="http://schemas.openxmlformats.org/officeDocument/2006/relationships/hyperlink" Id="rId66" Target="14.pdf" TargetMode="External" /><Relationship Type="http://schemas.openxmlformats.org/officeDocument/2006/relationships/hyperlink" Id="rId69" Target="15.pdf" TargetMode="External" /><Relationship Type="http://schemas.openxmlformats.org/officeDocument/2006/relationships/hyperlink" Id="rId73" Target="16.pdf" TargetMode="External" /><Relationship Type="http://schemas.openxmlformats.org/officeDocument/2006/relationships/hyperlink" Id="rId77" Target="17.pdf" TargetMode="External" /><Relationship Type="http://schemas.openxmlformats.org/officeDocument/2006/relationships/hyperlink" Id="rId80" Target="18.pdf" TargetMode="External" /><Relationship Type="http://schemas.openxmlformats.org/officeDocument/2006/relationships/hyperlink" Id="rId84" Target="19.pdf" TargetMode="External" /><Relationship Type="http://schemas.openxmlformats.org/officeDocument/2006/relationships/hyperlink" Id="rId28"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3"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46" Target="http://epaper.stcn.com/paper/zqsb/html/epaper/index/content_525952.htm" TargetMode="External" /><Relationship Type="http://schemas.openxmlformats.org/officeDocument/2006/relationships/hyperlink" Id="rId76" Target="http://epaper.stcn.com/paper/zqsb/html/epaper/index/content_525953.htm" TargetMode="External" /><Relationship Type="http://schemas.openxmlformats.org/officeDocument/2006/relationships/hyperlink" Id="rId25" Target="http://epaper.stcn.com/paper/zqsb/html/epaper/index/content_525980.htm" TargetMode="External" /><Relationship Type="http://schemas.openxmlformats.org/officeDocument/2006/relationships/hyperlink" Id="rId83" Target="http://epaper.stcn.com/paper/zqsb/html/epaper/index/content_526118.htm" TargetMode="External" /><Relationship Type="http://schemas.openxmlformats.org/officeDocument/2006/relationships/hyperlink" Id="rId30" Target="http://epaper.stcn.com/paper/zqsb/html/epaper/index/content_526127.htm" TargetMode="External" /><Relationship Type="http://schemas.openxmlformats.org/officeDocument/2006/relationships/hyperlink" Id="rId33" Target="http://epaper.stcn.com/paper/zqsb/html/epaper/index/content_526723.htm" TargetMode="External" /><Relationship Type="http://schemas.openxmlformats.org/officeDocument/2006/relationships/hyperlink" Id="rId79" Target="http://epaper.stcn.com/paper/zqsb/html/epaper/index/content_526839.htm" TargetMode="External" /><Relationship Type="http://schemas.openxmlformats.org/officeDocument/2006/relationships/hyperlink" Id="rId93" Target="http://kjs.mof.gov.cn/zhengwuxinxi/zhengcefabu/201312/t20131211_1023331.html" TargetMode="External" /><Relationship Type="http://schemas.openxmlformats.org/officeDocument/2006/relationships/hyperlink" Id="rId61" Target="http://qys.mof.gov.cn/zhengwuxinxi/zhengcefabu/201312/t20131210_1022520.html" TargetMode="External" /><Relationship Type="http://schemas.openxmlformats.org/officeDocument/2006/relationships/hyperlink" Id="rId49" Target="http://sczxs.mofcom.gov.cn/article/cbw/cl/201312/20131200419193.shtml" TargetMode="External" /><Relationship Type="http://schemas.openxmlformats.org/officeDocument/2006/relationships/hyperlink" Id="rId39" Target="http://www.amac.org.cn/xhdt/zxdt/385304.shtml" TargetMode="External" /><Relationship Type="http://schemas.openxmlformats.org/officeDocument/2006/relationships/hyperlink" Id="rId21" Target="http://www.charltonslaw.com.cn/china-news-alerts-cn-issue-386/" TargetMode="External" /><Relationship Type="http://schemas.openxmlformats.org/officeDocument/2006/relationships/hyperlink" Id="rId36" Target="http://www.chinabond.com.cn/Info/17253450" TargetMode="External" /><Relationship Type="http://schemas.openxmlformats.org/officeDocument/2006/relationships/hyperlink" Id="rId68" Target="http://www.chinatax.gov.cn/n2226/n2271/n2272/c610873/content.html" TargetMode="External" /><Relationship Type="http://schemas.openxmlformats.org/officeDocument/2006/relationships/hyperlink" Id="rId72" Target="http://www.circ.gov.cn/web/site0/tab5168/info3894795.htm" TargetMode="External" /><Relationship Type="http://schemas.openxmlformats.org/officeDocument/2006/relationships/hyperlink" Id="rId87" Target="http://www.gov.cn/zwgk/2013-12/10/content_2545569.htm" TargetMode="External" /><Relationship Type="http://schemas.openxmlformats.org/officeDocument/2006/relationships/hyperlink" Id="rId52" Target="http://www.gov.cn/zwgk/2013-12/11/content_2545729.htm" TargetMode="External" /><Relationship Type="http://schemas.openxmlformats.org/officeDocument/2006/relationships/hyperlink" Id="rId90" Target="http://www.gov.cn/zwgk/2013-12/11/content_2545993.htm" TargetMode="External" /><Relationship Type="http://schemas.openxmlformats.org/officeDocument/2006/relationships/hyperlink" Id="rId65" Target="http://www.mof.gov.cn/zhengwuxinxi/caizhengxinwen/201312/t20131211_1023503.html" TargetMode="External" /><Relationship Type="http://schemas.openxmlformats.org/officeDocument/2006/relationships/hyperlink" Id="rId55" Target="http://www.mofcom.gov.cn/article/b/e/201312/20131200419272.shtml" TargetMode="External" /><Relationship Type="http://schemas.openxmlformats.org/officeDocument/2006/relationships/hyperlink" Id="rId58" Target="http://www.ndrc.gov.cn/zcfb/zcfbtz/2013tz/t20131210_569742.htm" TargetMode="External" /><Relationship Type="http://schemas.openxmlformats.org/officeDocument/2006/relationships/hyperlink" Id="rId42" Target="http://www.safe.gov.cn/" TargetMode="External" /><Relationship Type="http://schemas.openxmlformats.org/officeDocument/2006/relationships/hyperlink" Id="rId9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3" Target="10.pdf" TargetMode="External" /><Relationship Type="http://schemas.openxmlformats.org/officeDocument/2006/relationships/hyperlink" Id="rId56" Target="11.pdf" TargetMode="External" /><Relationship Type="http://schemas.openxmlformats.org/officeDocument/2006/relationships/hyperlink" Id="rId59" Target="12.pdf" TargetMode="External" /><Relationship Type="http://schemas.openxmlformats.org/officeDocument/2006/relationships/hyperlink" Id="rId62" Target="13.pdf" TargetMode="External" /><Relationship Type="http://schemas.openxmlformats.org/officeDocument/2006/relationships/hyperlink" Id="rId66" Target="14.pdf" TargetMode="External" /><Relationship Type="http://schemas.openxmlformats.org/officeDocument/2006/relationships/hyperlink" Id="rId69" Target="15.pdf" TargetMode="External" /><Relationship Type="http://schemas.openxmlformats.org/officeDocument/2006/relationships/hyperlink" Id="rId73" Target="16.pdf" TargetMode="External" /><Relationship Type="http://schemas.openxmlformats.org/officeDocument/2006/relationships/hyperlink" Id="rId77" Target="17.pdf" TargetMode="External" /><Relationship Type="http://schemas.openxmlformats.org/officeDocument/2006/relationships/hyperlink" Id="rId80" Target="18.pdf" TargetMode="External" /><Relationship Type="http://schemas.openxmlformats.org/officeDocument/2006/relationships/hyperlink" Id="rId84" Target="19.pdf" TargetMode="External" /><Relationship Type="http://schemas.openxmlformats.org/officeDocument/2006/relationships/hyperlink" Id="rId28"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3"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46" Target="http://epaper.stcn.com/paper/zqsb/html/epaper/index/content_525952.htm" TargetMode="External" /><Relationship Type="http://schemas.openxmlformats.org/officeDocument/2006/relationships/hyperlink" Id="rId76" Target="http://epaper.stcn.com/paper/zqsb/html/epaper/index/content_525953.htm" TargetMode="External" /><Relationship Type="http://schemas.openxmlformats.org/officeDocument/2006/relationships/hyperlink" Id="rId25" Target="http://epaper.stcn.com/paper/zqsb/html/epaper/index/content_525980.htm" TargetMode="External" /><Relationship Type="http://schemas.openxmlformats.org/officeDocument/2006/relationships/hyperlink" Id="rId83" Target="http://epaper.stcn.com/paper/zqsb/html/epaper/index/content_526118.htm" TargetMode="External" /><Relationship Type="http://schemas.openxmlformats.org/officeDocument/2006/relationships/hyperlink" Id="rId30" Target="http://epaper.stcn.com/paper/zqsb/html/epaper/index/content_526127.htm" TargetMode="External" /><Relationship Type="http://schemas.openxmlformats.org/officeDocument/2006/relationships/hyperlink" Id="rId33" Target="http://epaper.stcn.com/paper/zqsb/html/epaper/index/content_526723.htm" TargetMode="External" /><Relationship Type="http://schemas.openxmlformats.org/officeDocument/2006/relationships/hyperlink" Id="rId79" Target="http://epaper.stcn.com/paper/zqsb/html/epaper/index/content_526839.htm" TargetMode="External" /><Relationship Type="http://schemas.openxmlformats.org/officeDocument/2006/relationships/hyperlink" Id="rId93" Target="http://kjs.mof.gov.cn/zhengwuxinxi/zhengcefabu/201312/t20131211_1023331.html" TargetMode="External" /><Relationship Type="http://schemas.openxmlformats.org/officeDocument/2006/relationships/hyperlink" Id="rId61" Target="http://qys.mof.gov.cn/zhengwuxinxi/zhengcefabu/201312/t20131210_1022520.html" TargetMode="External" /><Relationship Type="http://schemas.openxmlformats.org/officeDocument/2006/relationships/hyperlink" Id="rId49" Target="http://sczxs.mofcom.gov.cn/article/cbw/cl/201312/20131200419193.shtml" TargetMode="External" /><Relationship Type="http://schemas.openxmlformats.org/officeDocument/2006/relationships/hyperlink" Id="rId39" Target="http://www.amac.org.cn/xhdt/zxdt/385304.shtml" TargetMode="External" /><Relationship Type="http://schemas.openxmlformats.org/officeDocument/2006/relationships/hyperlink" Id="rId21" Target="http://www.charltonslaw.com.cn/china-news-alerts-cn-issue-386/" TargetMode="External" /><Relationship Type="http://schemas.openxmlformats.org/officeDocument/2006/relationships/hyperlink" Id="rId36" Target="http://www.chinabond.com.cn/Info/17253450" TargetMode="External" /><Relationship Type="http://schemas.openxmlformats.org/officeDocument/2006/relationships/hyperlink" Id="rId68" Target="http://www.chinatax.gov.cn/n2226/n2271/n2272/c610873/content.html" TargetMode="External" /><Relationship Type="http://schemas.openxmlformats.org/officeDocument/2006/relationships/hyperlink" Id="rId72" Target="http://www.circ.gov.cn/web/site0/tab5168/info3894795.htm" TargetMode="External" /><Relationship Type="http://schemas.openxmlformats.org/officeDocument/2006/relationships/hyperlink" Id="rId87" Target="http://www.gov.cn/zwgk/2013-12/10/content_2545569.htm" TargetMode="External" /><Relationship Type="http://schemas.openxmlformats.org/officeDocument/2006/relationships/hyperlink" Id="rId52" Target="http://www.gov.cn/zwgk/2013-12/11/content_2545729.htm" TargetMode="External" /><Relationship Type="http://schemas.openxmlformats.org/officeDocument/2006/relationships/hyperlink" Id="rId90" Target="http://www.gov.cn/zwgk/2013-12/11/content_2545993.htm" TargetMode="External" /><Relationship Type="http://schemas.openxmlformats.org/officeDocument/2006/relationships/hyperlink" Id="rId65" Target="http://www.mof.gov.cn/zhengwuxinxi/caizhengxinwen/201312/t20131211_1023503.html" TargetMode="External" /><Relationship Type="http://schemas.openxmlformats.org/officeDocument/2006/relationships/hyperlink" Id="rId55" Target="http://www.mofcom.gov.cn/article/b/e/201312/20131200419272.shtml" TargetMode="External" /><Relationship Type="http://schemas.openxmlformats.org/officeDocument/2006/relationships/hyperlink" Id="rId58" Target="http://www.ndrc.gov.cn/zcfb/zcfbtz/2013tz/t20131210_569742.htm" TargetMode="External" /><Relationship Type="http://schemas.openxmlformats.org/officeDocument/2006/relationships/hyperlink" Id="rId42" Target="http://www.safe.gov.cn/" TargetMode="External" /><Relationship Type="http://schemas.openxmlformats.org/officeDocument/2006/relationships/hyperlink" Id="rId9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第386期 - 2013年12月13日</dc:title>
  <dc:creator/>
</cp:coreProperties>
</file>