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第390期</w:t>
      </w:r>
      <w:r>
        <w:t xml:space="preserve"> </w:t>
      </w:r>
      <w:r>
        <w:t xml:space="preserve">-</w:t>
      </w:r>
      <w:r>
        <w:t xml:space="preserve"> </w:t>
      </w:r>
      <w:r>
        <w:t xml:space="preserve">2014年01月17日</w:t>
      </w:r>
    </w:p>
    <w:p>
      <w:hyperlink r:id="rId21">
        <w:r>
          <w:rPr>
            <w:rStyle w:val="Link"/>
          </w:rPr>
          <w:t xml:space="preserve">网络版</w:t>
        </w:r>
      </w:hyperlink>
    </w:p>
    <w:p>
      <w:pPr>
        <w:pStyle w:val="Heading1"/>
      </w:pPr>
      <w:bookmarkStart w:id="22" w:name="法讯中国第390期"/>
      <w:bookmarkEnd w:id="22"/>
      <w:r>
        <w:t xml:space="preserve">法讯中国第390期</w:t>
      </w:r>
    </w:p>
    <w:p>
      <w:pPr>
        <w:pStyle w:val="Heading2"/>
      </w:pPr>
      <w:bookmarkStart w:id="23" w:name="资本市场"/>
      <w:bookmarkEnd w:id="23"/>
      <w:r>
        <w:t xml:space="preserve">资本市场</w:t>
      </w:r>
    </w:p>
    <w:p>
      <w:pPr>
        <w:pStyle w:val="Heading3"/>
      </w:pPr>
      <w:bookmarkStart w:id="24" w:name="证监会发布关于加强新股发行监管的措施"/>
      <w:bookmarkEnd w:id="24"/>
      <w:r>
        <w:t xml:space="preserve">证监会发布《关于加强新股发行监管的措施》</w:t>
      </w:r>
    </w:p>
    <w:p>
      <w:r>
        <w:t xml:space="preserve">为进一步加强首次公开发行股票过程监管，1月12日，证监会发布《关于加强新股发行监管的措施》，自发布之日起施行。</w:t>
      </w:r>
    </w:p>
    <w:p>
      <w:r>
        <w:t xml:space="preserve">根据规定，中国证监会将对发行人的询价、路演过程进行抽查，发现发行人和主承销商在路演推介过程中使用除招股意向书等公开信息以外的发行人其他信息的，中止其发行，并依据相关规定对发行人、主承销商采取监管措施。涉嫌违法违规的，依法处理。</w:t>
      </w:r>
    </w:p>
    <w:p>
      <w:r>
        <w:t xml:space="preserve">2013年底恢复新股发行后，已经有51家公司启动发行。近日，奥赛康公司发行价格较高且老股转让数量较大，引起市场质疑，并已于1月10日发布公告宣布暂缓发行。证监会新闻发言人邓舸上周五表示，针对市场反映的问题，证监会近期将组织证券业协会、交易所对部分公司的发行承销工作开展检查。</w:t>
      </w:r>
    </w:p>
    <w:p>
      <w:r>
        <w:t xml:space="preserve">在奥赛康因发行定价过高而被暂缓发行后，多只新股纷纷自降“身价”，尤其是众信旅游剔除了96%高报价，发行市盈率低于行业平均四成。众信旅游公告显示，公司首次发行A股的发行价格确定为23.15元/股，对应市盈率为22.05倍。除了众信旅游，多家公司纷纷开始紧急调整发行价，汇金股份剔除了95.57%的高报价，扬杰科技剔除了94.28%的高报价，而晶方科技、创意信息、汇中股份、金一文化、登云股份等多只新股在定价剔除的高报价比例都超过50%。</w:t>
      </w:r>
    </w:p>
    <w:p>
      <w:r>
        <w:t xml:space="preserve">此外，根据《关于加强新股发行监管的措施》的精神，恒华科技宣布推迟刊登发行公告，慈铭体检、东方网力、汇金股份、绿盟科技发布公告称暂缓发行。公告显示，恒华科技调整原计划今日举行的网上路演安排，其他4家公司暂时取消原计划的网上路演。同时，各家公司预计发行时间表也将进行调整，发行的后续时间安排将及时公告，投资者应以最新公告的《发行公告》内容为准。</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r>
        <w:t xml:space="preserve"> </w:t>
      </w:r>
      <w:hyperlink r:id="rId27">
        <w:r>
          <w:rPr>
            <w:rStyle w:val="Link"/>
          </w:rPr>
          <w:t xml:space="preserve">来源</w:t>
        </w:r>
      </w:hyperlink>
      <w:r>
        <w:t xml:space="preserve"> </w:t>
      </w:r>
      <w:r>
        <w:t xml:space="preserve">(</w:t>
      </w:r>
      <w:hyperlink r:id="rId28">
        <w:r>
          <w:rPr>
            <w:rStyle w:val="Link"/>
          </w:rPr>
          <w:t xml:space="preserve">副本</w:t>
        </w:r>
      </w:hyperlink>
      <w:r>
        <w:t xml:space="preserve">),</w:t>
      </w:r>
      <w:r>
        <w:t xml:space="preserve"> </w:t>
      </w:r>
      <w:hyperlink r:id="rId29">
        <w:r>
          <w:rPr>
            <w:rStyle w:val="Link"/>
          </w:rPr>
          <w:t xml:space="preserve">来源</w:t>
        </w:r>
      </w:hyperlink>
      <w:r>
        <w:t xml:space="preserve"> </w:t>
      </w:r>
      <w:r>
        <w:t xml:space="preserve">(</w:t>
      </w:r>
      <w:hyperlink r:id="rId30">
        <w:r>
          <w:rPr>
            <w:rStyle w:val="Link"/>
          </w:rPr>
          <w:t xml:space="preserve">副本</w:t>
        </w:r>
      </w:hyperlink>
      <w:r>
        <w:t xml:space="preserve">)</w:t>
      </w:r>
    </w:p>
    <w:p>
      <w:pPr>
        <w:pStyle w:val="Heading3"/>
      </w:pPr>
      <w:bookmarkStart w:id="31" w:name="上交所进一步强化重组信息披露监管"/>
      <w:bookmarkEnd w:id="31"/>
      <w:r>
        <w:t xml:space="preserve">上交所进一步强化重组信息披露监管</w:t>
      </w:r>
    </w:p>
    <w:p>
      <w:r>
        <w:t xml:space="preserve">上交所网站1月14日消息，近日，上交所发布《上市公司重大资产重组信息披露工作备忘录-第十号 重组公司持续信息披露》，进一步规范上市公司重组停牌前相关事项的核实、确认和承诺、重组停牌期间及披露重组方案后的持续信息披露，并强化了重组公司董事会的勤勉尽责义务。</w:t>
      </w:r>
    </w:p>
    <w:p>
      <w:r>
        <w:t xml:space="preserve">本次《备忘录》与上交所此前发布的重组备忘录共同构成对重组公司的持续信息披露要求。《备忘录》主要包括以下具体内容：一是规范了上市公司重大资产重组停牌前相关事项的核实、确认和承诺。二是强化了重组公司董事会的勤勉尽责义务。三是强化了重组停牌期间的信息披露。四是规范上市公司披露重组方案后的持续信息披露义务，特别是重组风险因素的及时披露。</w:t>
      </w:r>
    </w:p>
    <w:p>
      <w:hyperlink r:id="rId32">
        <w:r>
          <w:rPr>
            <w:rStyle w:val="Link"/>
          </w:rPr>
          <w:t xml:space="preserve">来源</w:t>
        </w:r>
      </w:hyperlink>
      <w:r>
        <w:t xml:space="preserve"> </w:t>
      </w:r>
      <w:r>
        <w:t xml:space="preserve">(</w:t>
      </w:r>
      <w:hyperlink r:id="rId33">
        <w:r>
          <w:rPr>
            <w:rStyle w:val="Link"/>
          </w:rPr>
          <w:t xml:space="preserve">副本</w:t>
        </w:r>
      </w:hyperlink>
      <w:r>
        <w:t xml:space="preserve">)</w:t>
      </w:r>
    </w:p>
    <w:p>
      <w:pPr>
        <w:pStyle w:val="Heading3"/>
      </w:pPr>
      <w:bookmarkStart w:id="34" w:name="香港证监会中港基金互认谈判已到最后阶段"/>
      <w:bookmarkEnd w:id="34"/>
      <w:r>
        <w:t xml:space="preserve">香港证监会:中港基金互认谈判已到最后阶段</w:t>
      </w:r>
    </w:p>
    <w:p>
      <w:r>
        <w:t xml:space="preserve">香港证监会副行政总裁张灼华1月14日表示，中港监管层已经就两地基金互认达成了一系列广泛的共识，特别是在关键领域，现在已经进入谈判的最后阶段。</w:t>
      </w:r>
    </w:p>
    <w:p>
      <w:r>
        <w:t xml:space="preserve">张灼华是在亚洲金融论坛中的主题讨论环节做出上述表示的。她指出，实现两地基金互认后，认可基金在两地市场同时进行信息披露非常重要。两地基金互认将会改变游戏规则，两地基金产品越快进行相互认证，对行业产生的作用就越大。此外，从香港的角度出发，首先要确保有合适的产品，如果一开始从香港引入内地市场的产品不是高质量的产品，恐怕长期而言对香港不利。而如果基金互认不仅在内地和香港之间成立，内地同时和其他的国家、地区签署了相似的协议，香港基金业恐怕需要重新考虑商业计划和战略。</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3"/>
      </w:pPr>
      <w:bookmarkStart w:id="37" w:name="六部委支持科技企业上市和再融资"/>
      <w:bookmarkEnd w:id="37"/>
      <w:r>
        <w:t xml:space="preserve">六部委支持科技企业上市和再融资</w:t>
      </w:r>
    </w:p>
    <w:p>
      <w:r>
        <w:t xml:space="preserve">近日，央行会同科技部、银监会、证监会、保监会和知识产权局等六部门，联合发布了《关于大力推进体制机制创新扎实做好科技金融服务的意见》。《意见》明确，拓宽适合科技创新发展规律的多元化融资渠道。支持科技企业上市、再融资和并购重组，适当放宽科技企业的财务准入标准，简化发行条件。支持符合条件的科技企业在境外上市融资。</w:t>
      </w:r>
    </w:p>
    <w:p>
      <w:r>
        <w:t xml:space="preserve">《意见》提出，大力培育和发展服务科技创新的金融组织体系，鼓励银行业金融机构新设或改造部分分（支）行作为从事中小科技企业金融服务的专业分（支）行或特色分（支）行，支持发展科技小额贷款公司、金融租赁公司和财务公司为科技企业提供金融服务，建立和培育发展科技金融服务中心等多种形式的科技金融中介服务平台，不断增加对科技创新的金融服务供给。</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3"/>
      </w:pPr>
      <w:bookmarkStart w:id="40" w:name="证券业协会发布-证券公司客户账户开户协议指引及证券交易委托代理协议指引"/>
      <w:bookmarkEnd w:id="40"/>
      <w:r>
        <w:t xml:space="preserve">证券业协会发布 《证券公司客户账户开户协议指引》及《证券交易委托代理协议指引》</w:t>
      </w:r>
    </w:p>
    <w:p>
      <w:r>
        <w:t xml:space="preserve">1月13日，中国证券业协会发布《关于发布〈证券公司客户账户开户协议指引〉及〈证券交易委托代理协议指引〉的通知》（以下简称《通知》）。</w:t>
      </w:r>
    </w:p>
    <w:p>
      <w:r>
        <w:t xml:space="preserve">根据《通知》，证券公司与存量客户签署的协议仍延用原协议，为客户开通B股投资业务时仍可延用原流程和协议文本。《通知》发布后，《证券交易委托代理协议指引》和《创业板市场投资风险揭示书必备条款》同时废止。</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2"/>
      </w:pPr>
      <w:bookmarkStart w:id="43" w:name="行业"/>
      <w:bookmarkEnd w:id="43"/>
      <w:r>
        <w:t xml:space="preserve">行业</w:t>
      </w:r>
    </w:p>
    <w:p>
      <w:pPr>
        <w:pStyle w:val="Heading3"/>
      </w:pPr>
      <w:bookmarkStart w:id="44" w:name="工信部增设7个国家级互联网骨干直连点"/>
      <w:bookmarkEnd w:id="44"/>
      <w:r>
        <w:t xml:space="preserve">工信部增设7个国家级互联网骨干直连点</w:t>
      </w:r>
    </w:p>
    <w:p>
      <w:r>
        <w:t xml:space="preserve">在现有的北京、上海、广州三个国家级互联网骨干直联点外，工信部决定在成都、武汉、西安、沈阳、南京、重庆、郑州增设七个新的骨干直联点，以改善我国互联网络性能，推动互联网产业向中西部聚集。</w:t>
      </w:r>
    </w:p>
    <w:p>
      <w:r>
        <w:t xml:space="preserve">工信部1月14日公布的《关于设立新增国家级互联网骨干直联点的指导意见》称，未来1到2年要完成新增七个骨干直联点的设立工作并投入运行；完成总共不少于700G的骨干网间互联，基本消除网间通信质量障碍；骨干网络节点升级改造全面完成，相关网间通信质量监测、应急保障、安全运行维护及保护、网络信息安全等配套系统完成建设并投入运行；相关配套管理制度初步建立，管理流程顺畅，基本满足新增点安全平稳运行需要。</w:t>
      </w:r>
    </w:p>
    <w:p>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3"/>
      </w:pPr>
      <w:bookmarkStart w:id="47" w:name="商务部启动商业特许经营企业合同年报报送工作"/>
      <w:bookmarkEnd w:id="47"/>
      <w:r>
        <w:t xml:space="preserve">商务部：启动商业特许经营企业合同年报报送工作</w:t>
      </w:r>
    </w:p>
    <w:p>
      <w:r>
        <w:t xml:space="preserve">商务部网站1月13日消息，商务部于1月10日发布《关于启动商业特许经营企业合同年报报送工作的通知》。</w:t>
      </w:r>
    </w:p>
    <w:p>
      <w:r>
        <w:t xml:space="preserve">《通知》明确， 2013年度特许经营合同年报报送工作已正式启动。《通知》要求各省级商务主管部门及时通知、督促特许经营企业做好年报工作；有关特许经营企业应及时、主动做好年报工作，真实准确填报相关信息。年报报送截止日期为2014年3月31日。各省级商务主管部门应于2014年4月10日之前将本省（区、市）特许经营企业年报工作开展情况反馈至商务部。</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2"/>
      </w:pPr>
      <w:bookmarkStart w:id="50" w:name="并购"/>
      <w:bookmarkEnd w:id="50"/>
      <w:r>
        <w:t xml:space="preserve">并购</w:t>
      </w:r>
    </w:p>
    <w:p>
      <w:pPr>
        <w:pStyle w:val="Heading3"/>
      </w:pPr>
      <w:bookmarkStart w:id="51" w:name="海普瑞欲13.7亿收购美国肝素药企"/>
      <w:bookmarkEnd w:id="51"/>
      <w:r>
        <w:t xml:space="preserve">海普瑞欲13.7亿收购美国肝素药企</w:t>
      </w:r>
    </w:p>
    <w:p>
      <w:r>
        <w:t xml:space="preserve">海普瑞1月13日披露收购报告书。公司拟通过其在美国设立的全资子公司美国海普瑞（Hepalink USA Inc）以现金方式向交易对方支付约2.23亿美元（折合13.69亿元人民币），收购SPL Acquisition Corp的全部股权，并向SPL的债权人支付约1.08亿美元（折合人民币6.65亿人民币），以偿还其特定债务，同时形成美国海普瑞对SPL的债权。</w:t>
      </w:r>
    </w:p>
    <w:p>
      <w:r>
        <w:t xml:space="preserve">SPL在肝素行业有近40年的经营经验，熟悉欧美等地区肝素类药物的主要市场，拥有先进的生产制造装备，且具备相匹配的装备管理能力。海普瑞董秘步海华表示，此次并购，有利于公司拓展肝素原料药供应渠道，整合双方优势，在全球范围内建立稳定可靠的原材料供应体系。</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2"/>
      </w:pPr>
      <w:bookmarkStart w:id="54" w:name="税收"/>
      <w:bookmarkEnd w:id="54"/>
      <w:r>
        <w:t xml:space="preserve">税收</w:t>
      </w:r>
    </w:p>
    <w:p>
      <w:pPr>
        <w:pStyle w:val="Heading3"/>
      </w:pPr>
      <w:bookmarkStart w:id="55" w:name="夫妻间房屋或土地权属变更免征契税"/>
      <w:bookmarkEnd w:id="55"/>
      <w:r>
        <w:t xml:space="preserve">夫妻间房屋或土地权属变更免征契税</w:t>
      </w:r>
    </w:p>
    <w:p>
      <w:r>
        <w:t xml:space="preserve">财政部、国税总局日前发布通知，在婚姻关系存续期间，房屋、土地权属原归夫妻一方所有，变更为夫妻双方共有或另一方所有，或者房屋、土地权属原归夫妻双方共有，变更为其中一方所有，或者房屋、土地权属原归夫妻双方共有，双方约定、变更共有份额，免征契税。</w:t>
      </w:r>
    </w:p>
    <w:p>
      <w:hyperlink r:id="rId56">
        <w:r>
          <w:rPr>
            <w:rStyle w:val="Link"/>
          </w:rPr>
          <w:t xml:space="preserve">来源</w:t>
        </w:r>
      </w:hyperlink>
      <w:r>
        <w:t xml:space="preserve"> </w:t>
      </w:r>
      <w:r>
        <w:t xml:space="preserve">(</w:t>
      </w:r>
      <w:hyperlink r:id="rId57">
        <w:r>
          <w:rPr>
            <w:rStyle w:val="Link"/>
          </w:rPr>
          <w:t xml:space="preserve">副本</w:t>
        </w:r>
      </w:hyperlink>
      <w:r>
        <w:t xml:space="preserve">)</w:t>
      </w:r>
    </w:p>
    <w:p>
      <w:pPr>
        <w:pStyle w:val="Heading2"/>
      </w:pPr>
      <w:bookmarkStart w:id="58" w:name="保险"/>
      <w:bookmarkEnd w:id="58"/>
      <w:r>
        <w:t xml:space="preserve">保险</w:t>
      </w:r>
    </w:p>
    <w:p>
      <w:pPr>
        <w:pStyle w:val="Heading3"/>
      </w:pPr>
      <w:bookmarkStart w:id="59" w:name="银行代销保险新规4月起实施"/>
      <w:bookmarkEnd w:id="59"/>
      <w:r>
        <w:t xml:space="preserve">银行代销保险新规4月起实施</w:t>
      </w:r>
    </w:p>
    <w:p>
      <w:r>
        <w:t xml:space="preserve">1月16日，保监会网站发布了《关于进一步规范商业银行代理保险业务销售行为的通知》。通知对商业银行代理销售保险产品的适应性、保障型保险产品销售比例、商业银行与保险机构的互相选择合作、保险产品的宣传、监管层跨业监管等方面内容进行规范。通知自2014年4月1日起实施。</w:t>
      </w:r>
    </w:p>
    <w:p>
      <w:r>
        <w:t xml:space="preserve">根据通知，商业银行应当对投保人进行需求分析与风险承受能力测评，根据评估结果推荐保险产品，把合适的产品销售给有需求和承受能力的客户。商业银行代理销售的保险产品保险期间超过一年的，应在合同中约定15个自然日的犹豫期，犹豫期自投保人收到保险单并书面签收之日起计算。通知还统一规定了分红险、万能险、投连险的风险提示语。</w:t>
      </w:r>
    </w:p>
    <w:p>
      <w:hyperlink r:id="rId60">
        <w:r>
          <w:rPr>
            <w:rStyle w:val="Link"/>
          </w:rPr>
          <w:t xml:space="preserve">来源</w:t>
        </w:r>
      </w:hyperlink>
      <w:r>
        <w:t xml:space="preserve"> </w:t>
      </w:r>
      <w:r>
        <w:t xml:space="preserve">(</w:t>
      </w:r>
      <w:hyperlink r:id="rId61">
        <w:r>
          <w:rPr>
            <w:rStyle w:val="Link"/>
          </w:rPr>
          <w:t xml:space="preserve">副本</w:t>
        </w:r>
      </w:hyperlink>
      <w:r>
        <w:t xml:space="preserve">),</w:t>
      </w:r>
      <w:r>
        <w:t xml:space="preserve"> </w:t>
      </w:r>
      <w:hyperlink r:id="rId62">
        <w:r>
          <w:rPr>
            <w:rStyle w:val="Link"/>
          </w:rPr>
          <w:t xml:space="preserve">来源</w:t>
        </w:r>
      </w:hyperlink>
      <w:r>
        <w:t xml:space="preserve"> </w:t>
      </w:r>
      <w:r>
        <w:t xml:space="preserve">(</w:t>
      </w:r>
      <w:hyperlink r:id="rId63">
        <w:r>
          <w:rPr>
            <w:rStyle w:val="Link"/>
          </w:rPr>
          <w:t xml:space="preserve">副本</w:t>
        </w:r>
      </w:hyperlink>
      <w:r>
        <w:t xml:space="preserve">)</w:t>
      </w:r>
    </w:p>
    <w:p>
      <w:pPr>
        <w:pStyle w:val="Heading2"/>
      </w:pPr>
      <w:bookmarkStart w:id="64" w:name="其他"/>
      <w:bookmarkEnd w:id="64"/>
      <w:r>
        <w:t xml:space="preserve">其他</w:t>
      </w:r>
    </w:p>
    <w:p>
      <w:pPr>
        <w:pStyle w:val="Heading3"/>
      </w:pPr>
      <w:bookmarkStart w:id="65" w:name="部委通知明确实现跨省医保即时结算"/>
      <w:bookmarkEnd w:id="65"/>
      <w:r>
        <w:t xml:space="preserve">12部委通知明确：实现跨省医保即时结算</w:t>
      </w:r>
    </w:p>
    <w:p>
      <w:r>
        <w:t xml:space="preserve">1月16日财政部网站消息，发改委、中央编办、工信部等12部委1月9日联合发出《关于加快实施信息惠民工程有关工作的通知》。《通知》指出，信息惠民工程实施的重点是解决社保、医疗、教育、养老、就业、公共安全、食品药品安全、社区服务、家庭服务九大领域突出问题。</w:t>
      </w:r>
    </w:p>
    <w:p>
      <w:r>
        <w:t xml:space="preserve">《通知》要求，建设跨地区医保费用中央和省级结算信息平台，制定跨地区医保联网结算标准规范，在全国范围实现公民的合规异地就医费用医保持卡即时结算。先期在15个省份100个地市开展跨省医保即时结算试点，服务城乡居民超3亿人，跨地区医保即时结算模式和协作机制逐步建立。</w:t>
      </w:r>
    </w:p>
    <w:p>
      <w:hyperlink r:id="rId66">
        <w:r>
          <w:rPr>
            <w:rStyle w:val="Link"/>
          </w:rPr>
          <w:t xml:space="preserve">来源</w:t>
        </w:r>
      </w:hyperlink>
      <w:r>
        <w:t xml:space="preserve"> </w:t>
      </w:r>
      <w:r>
        <w:t xml:space="preserve">(</w:t>
      </w:r>
      <w:hyperlink r:id="rId67">
        <w:r>
          <w:rPr>
            <w:rStyle w:val="Link"/>
          </w:rPr>
          <w:t xml:space="preserve">副本</w:t>
        </w:r>
      </w:hyperlink>
      <w:r>
        <w:t xml:space="preserve">)</w:t>
      </w:r>
    </w:p>
    <w:p>
      <w:pPr>
        <w:pStyle w:val="Heading3"/>
      </w:pPr>
      <w:bookmarkStart w:id="68" w:name="环保部印发水体污染控制与治理科技重大专项档案管理规定试行"/>
      <w:bookmarkEnd w:id="68"/>
      <w:r>
        <w:t xml:space="preserve">环保部印发《水体污染控制与治理科技重大专项档案管理规定（试行）》</w:t>
      </w:r>
    </w:p>
    <w:p>
      <w:r>
        <w:t xml:space="preserve">环保部1月10日发布《水体污染控制与治理科技重大专项档案管理规定（试行）》。水专项档案是指在水专项组织实施过程中产生的具有保存价值的电子文档、文字资料、声像资料、照片、图表、数据信息等。</w:t>
      </w:r>
    </w:p>
    <w:p>
      <w:r>
        <w:t xml:space="preserve">《规定》要求，建立实体档案的同时，应同步建立电子档案进行保存、管理。水专项组织实施中的科研工作和建档工作应实行同步管理。此外，查阅、摘抄、复印水专项档案，需持有效证件，并登记造册。</w:t>
      </w:r>
    </w:p>
    <w:p>
      <w:hyperlink r:id="rId69">
        <w:r>
          <w:rPr>
            <w:rStyle w:val="Link"/>
          </w:rPr>
          <w:t xml:space="preserve">来源</w:t>
        </w:r>
      </w:hyperlink>
      <w:r>
        <w:t xml:space="preserve"> </w:t>
      </w:r>
      <w:r>
        <w:t xml:space="preserve">(</w:t>
      </w:r>
      <w:hyperlink r:id="rId70">
        <w:r>
          <w:rPr>
            <w:rStyle w:val="Link"/>
          </w:rPr>
          <w:t xml:space="preserve">副本</w:t>
        </w:r>
      </w:hyperlink>
      <w:r>
        <w:t xml:space="preserve">)</w:t>
      </w:r>
    </w:p>
    <w:p>
      <w:pPr>
        <w:pStyle w:val="Heading3"/>
      </w:pPr>
      <w:bookmarkStart w:id="71" w:name="部门签署备忘录联合惩戒失信被执行人"/>
      <w:bookmarkEnd w:id="71"/>
      <w:r>
        <w:t xml:space="preserve">8部门签署备忘录联合惩戒失信被执行人</w:t>
      </w:r>
    </w:p>
    <w:p>
      <w:r>
        <w:t xml:space="preserve">为着力解决诚信缺失问题,1月16日,中央文明办、最高人民法院、公安部等8部门在北京发布《“构建诚信　惩戒失信”合作备忘录》。</w:t>
      </w:r>
    </w:p>
    <w:p>
      <w:r>
        <w:t xml:space="preserve">最高法将统一在全国法院失信被执行人名单信息公布与查询平台对失信被执行人发出限制高消费令,与相关部门一道限制失信被执行人高消费,并采取其他信用惩戒措施。惩戒范围主要包括禁止乘坐飞机、列车软卧；限制在金融机构贷款或办理信用卡；失信被执行人为自然人的,不得担任企业的法定代表人、董事、监事等。</w:t>
      </w:r>
    </w:p>
    <w:p>
      <w:r>
        <w:t xml:space="preserve">此外,最高法与中国工商银行、中国农业银行等商业银行以及人民银行征信中心签订协议,实现失信被执行人名单信息共享。合作银行已将首批失信被执行人名单信息纳入评级系统,在进行信贷审核时,对具有失信情形的当事人拒绝发放贷款及其他融资形式,目前,银行业已经限制1.1万余人次办理各类金融业务。</w:t>
      </w:r>
    </w:p>
    <w:p>
      <w:hyperlink r:id="rId72">
        <w:r>
          <w:rPr>
            <w:rStyle w:val="Link"/>
          </w:rPr>
          <w:t xml:space="preserve">来源</w:t>
        </w:r>
      </w:hyperlink>
      <w:r>
        <w:t xml:space="preserve"> </w:t>
      </w:r>
      <w:r>
        <w:t xml:space="preserve">(</w:t>
      </w:r>
      <w:hyperlink r:id="rId73">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4">
        <w:r>
          <w:rPr>
            <w:rStyle w:val="Link"/>
          </w:rPr>
          <w:t xml:space="preserve">unsubscribe@charltonslaw.com</w:t>
        </w:r>
      </w:hyperlink>
    </w:p>
    <w:p>
      <w:r>
        <w:rPr>
          <w:b/>
        </w:rPr>
        <w:t xml:space="preserve">易周律师行 - 法讯 - 中国 - 第390期 - 2014年01月17日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a778358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61" Target="10.pdf" TargetMode="External" /><Relationship Type="http://schemas.openxmlformats.org/officeDocument/2006/relationships/hyperlink" Id="rId63" Target="10a.pdf" TargetMode="External" /><Relationship Type="http://schemas.openxmlformats.org/officeDocument/2006/relationships/hyperlink" Id="rId67" Target="11.pdf" TargetMode="External" /><Relationship Type="http://schemas.openxmlformats.org/officeDocument/2006/relationships/hyperlink" Id="rId70" Target="12.pdf" TargetMode="External" /><Relationship Type="http://schemas.openxmlformats.org/officeDocument/2006/relationships/hyperlink" Id="rId73" Target="13.pdf" TargetMode="External" /><Relationship Type="http://schemas.openxmlformats.org/officeDocument/2006/relationships/hyperlink" Id="rId28" Target="1a.pdf" TargetMode="External" /><Relationship Type="http://schemas.openxmlformats.org/officeDocument/2006/relationships/hyperlink" Id="rId30" Target="1b.pdf" TargetMode="External" /><Relationship Type="http://schemas.openxmlformats.org/officeDocument/2006/relationships/hyperlink" Id="rId33" Target="2.pdf" TargetMode="External" /><Relationship Type="http://schemas.openxmlformats.org/officeDocument/2006/relationships/hyperlink" Id="rId36" Target="3.pdf" TargetMode="External" /><Relationship Type="http://schemas.openxmlformats.org/officeDocument/2006/relationships/hyperlink" Id="rId39" Target="4.pdf" TargetMode="External" /><Relationship Type="http://schemas.openxmlformats.org/officeDocument/2006/relationships/hyperlink" Id="rId42" Target="5.pdf" TargetMode="External" /><Relationship Type="http://schemas.openxmlformats.org/officeDocument/2006/relationships/hyperlink" Id="rId46" Target="6.pdf" TargetMode="External" /><Relationship Type="http://schemas.openxmlformats.org/officeDocument/2006/relationships/hyperlink" Id="rId49" Target="7.pdf" TargetMode="External" /><Relationship Type="http://schemas.openxmlformats.org/officeDocument/2006/relationships/hyperlink" Id="rId53" Target="8.pdf" TargetMode="External" /><Relationship Type="http://schemas.openxmlformats.org/officeDocument/2006/relationships/hyperlink" Id="rId57" Target="9.pdf" TargetMode="External" /><Relationship Type="http://schemas.openxmlformats.org/officeDocument/2006/relationships/hyperlink" Id="rId27" Target="http://epaper.stcn.com/paper/zqsb/html/2014-01/11/content_535732.htm" TargetMode="External" /><Relationship Type="http://schemas.openxmlformats.org/officeDocument/2006/relationships/hyperlink" Id="rId35" Target="http://epaper.stcn.com/paper/zqsb/html/2014-01/15/content_536637.htm" TargetMode="External" /><Relationship Type="http://schemas.openxmlformats.org/officeDocument/2006/relationships/hyperlink" Id="rId52" Target="http://epaper.stcn.com/paper/zqsb/html/epaper/index/content_536024.htm" TargetMode="External" /><Relationship Type="http://schemas.openxmlformats.org/officeDocument/2006/relationships/hyperlink" Id="rId48" Target="http://ltfzs.mofcom.gov.cn/article/smzx/201401/20140100457746.shtml" TargetMode="External" /><Relationship Type="http://schemas.openxmlformats.org/officeDocument/2006/relationships/hyperlink" Id="rId62" Target="http://news.xinhuanet.com/fortune/2014-01/17/c_126020883.htm" TargetMode="External" /><Relationship Type="http://schemas.openxmlformats.org/officeDocument/2006/relationships/hyperlink" Id="rId29" Target="http://stock.hexun.com/2014-01-16/161465553.html" TargetMode="External" /><Relationship Type="http://schemas.openxmlformats.org/officeDocument/2006/relationships/hyperlink" Id="rId56" Target="http://szs.mof.gov.cn/zhengwuxinxi/zhengcefabu/201401/t20140117_1036515.html" TargetMode="External" /><Relationship Type="http://schemas.openxmlformats.org/officeDocument/2006/relationships/hyperlink" Id="rId21" Target="http://www.charltonslaw.com.cn/china-news-alerts-cn-issue-390/" TargetMode="External" /><Relationship Type="http://schemas.openxmlformats.org/officeDocument/2006/relationships/hyperlink" Id="rId60" Target="http://www.circ.gov.cn/web/site0/tab5168/info3901377.htm" TargetMode="External" /><Relationship Type="http://schemas.openxmlformats.org/officeDocument/2006/relationships/hyperlink" Id="rId25" Target="http://www.csrc.gov.cn/pub/zjhpublic/zjh/201401/t20140112_242420.htm" TargetMode="External" /><Relationship Type="http://schemas.openxmlformats.org/officeDocument/2006/relationships/hyperlink" Id="rId72" Target="http://www.legalinfo.gov.cn/index/content/2014-01/17/content_5211859.htm?node=7863" TargetMode="External" /><Relationship Type="http://schemas.openxmlformats.org/officeDocument/2006/relationships/hyperlink" Id="rId45" Target="http://www.miit.gov.cn/n11293472/n11293832/n12843926/n13917072/15841214.html" TargetMode="External" /><Relationship Type="http://schemas.openxmlformats.org/officeDocument/2006/relationships/hyperlink" Id="rId66" Target="http://www.mof.gov.cn/zhengwuxinxi/zhengcefabu/201401/t20140116_1036140.htm" TargetMode="External" /><Relationship Type="http://schemas.openxmlformats.org/officeDocument/2006/relationships/hyperlink" Id="rId38" Target="http://www.pbc.gov.cn/publish/goutongjiaoliu/524/2014/20140115182107809223330/20140115182107809223330_.html" TargetMode="External" /><Relationship Type="http://schemas.openxmlformats.org/officeDocument/2006/relationships/hyperlink" Id="rId41" Target="http://www.sac.net.cn/tzgg/201401/t20140113_79825.html" TargetMode="External" /><Relationship Type="http://schemas.openxmlformats.org/officeDocument/2006/relationships/hyperlink" Id="rId32" Target="http://www.sse.com.cn/lawandrules/guide/disclosure/specialmemo/c/c_20140113_3763164.shtml" TargetMode="External" /><Relationship Type="http://schemas.openxmlformats.org/officeDocument/2006/relationships/hyperlink" Id="rId69" Target="http://www.zhb.gov.cn/gkml/hbb/bgth/201401/t20140115_266439.htm" TargetMode="External" /><Relationship Type="http://schemas.openxmlformats.org/officeDocument/2006/relationships/hyperlink" Id="rId74"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61" Target="10.pdf" TargetMode="External" /><Relationship Type="http://schemas.openxmlformats.org/officeDocument/2006/relationships/hyperlink" Id="rId63" Target="10a.pdf" TargetMode="External" /><Relationship Type="http://schemas.openxmlformats.org/officeDocument/2006/relationships/hyperlink" Id="rId67" Target="11.pdf" TargetMode="External" /><Relationship Type="http://schemas.openxmlformats.org/officeDocument/2006/relationships/hyperlink" Id="rId70" Target="12.pdf" TargetMode="External" /><Relationship Type="http://schemas.openxmlformats.org/officeDocument/2006/relationships/hyperlink" Id="rId73" Target="13.pdf" TargetMode="External" /><Relationship Type="http://schemas.openxmlformats.org/officeDocument/2006/relationships/hyperlink" Id="rId28" Target="1a.pdf" TargetMode="External" /><Relationship Type="http://schemas.openxmlformats.org/officeDocument/2006/relationships/hyperlink" Id="rId30" Target="1b.pdf" TargetMode="External" /><Relationship Type="http://schemas.openxmlformats.org/officeDocument/2006/relationships/hyperlink" Id="rId33" Target="2.pdf" TargetMode="External" /><Relationship Type="http://schemas.openxmlformats.org/officeDocument/2006/relationships/hyperlink" Id="rId36" Target="3.pdf" TargetMode="External" /><Relationship Type="http://schemas.openxmlformats.org/officeDocument/2006/relationships/hyperlink" Id="rId39" Target="4.pdf" TargetMode="External" /><Relationship Type="http://schemas.openxmlformats.org/officeDocument/2006/relationships/hyperlink" Id="rId42" Target="5.pdf" TargetMode="External" /><Relationship Type="http://schemas.openxmlformats.org/officeDocument/2006/relationships/hyperlink" Id="rId46" Target="6.pdf" TargetMode="External" /><Relationship Type="http://schemas.openxmlformats.org/officeDocument/2006/relationships/hyperlink" Id="rId49" Target="7.pdf" TargetMode="External" /><Relationship Type="http://schemas.openxmlformats.org/officeDocument/2006/relationships/hyperlink" Id="rId53" Target="8.pdf" TargetMode="External" /><Relationship Type="http://schemas.openxmlformats.org/officeDocument/2006/relationships/hyperlink" Id="rId57" Target="9.pdf" TargetMode="External" /><Relationship Type="http://schemas.openxmlformats.org/officeDocument/2006/relationships/hyperlink" Id="rId27" Target="http://epaper.stcn.com/paper/zqsb/html/2014-01/11/content_535732.htm" TargetMode="External" /><Relationship Type="http://schemas.openxmlformats.org/officeDocument/2006/relationships/hyperlink" Id="rId35" Target="http://epaper.stcn.com/paper/zqsb/html/2014-01/15/content_536637.htm" TargetMode="External" /><Relationship Type="http://schemas.openxmlformats.org/officeDocument/2006/relationships/hyperlink" Id="rId52" Target="http://epaper.stcn.com/paper/zqsb/html/epaper/index/content_536024.htm" TargetMode="External" /><Relationship Type="http://schemas.openxmlformats.org/officeDocument/2006/relationships/hyperlink" Id="rId48" Target="http://ltfzs.mofcom.gov.cn/article/smzx/201401/20140100457746.shtml" TargetMode="External" /><Relationship Type="http://schemas.openxmlformats.org/officeDocument/2006/relationships/hyperlink" Id="rId62" Target="http://news.xinhuanet.com/fortune/2014-01/17/c_126020883.htm" TargetMode="External" /><Relationship Type="http://schemas.openxmlformats.org/officeDocument/2006/relationships/hyperlink" Id="rId29" Target="http://stock.hexun.com/2014-01-16/161465553.html" TargetMode="External" /><Relationship Type="http://schemas.openxmlformats.org/officeDocument/2006/relationships/hyperlink" Id="rId56" Target="http://szs.mof.gov.cn/zhengwuxinxi/zhengcefabu/201401/t20140117_1036515.html" TargetMode="External" /><Relationship Type="http://schemas.openxmlformats.org/officeDocument/2006/relationships/hyperlink" Id="rId21" Target="http://www.charltonslaw.com.cn/china-news-alerts-cn-issue-390/" TargetMode="External" /><Relationship Type="http://schemas.openxmlformats.org/officeDocument/2006/relationships/hyperlink" Id="rId60" Target="http://www.circ.gov.cn/web/site0/tab5168/info3901377.htm" TargetMode="External" /><Relationship Type="http://schemas.openxmlformats.org/officeDocument/2006/relationships/hyperlink" Id="rId25" Target="http://www.csrc.gov.cn/pub/zjhpublic/zjh/201401/t20140112_242420.htm" TargetMode="External" /><Relationship Type="http://schemas.openxmlformats.org/officeDocument/2006/relationships/hyperlink" Id="rId72" Target="http://www.legalinfo.gov.cn/index/content/2014-01/17/content_5211859.htm?node=7863" TargetMode="External" /><Relationship Type="http://schemas.openxmlformats.org/officeDocument/2006/relationships/hyperlink" Id="rId45" Target="http://www.miit.gov.cn/n11293472/n11293832/n12843926/n13917072/15841214.html" TargetMode="External" /><Relationship Type="http://schemas.openxmlformats.org/officeDocument/2006/relationships/hyperlink" Id="rId66" Target="http://www.mof.gov.cn/zhengwuxinxi/zhengcefabu/201401/t20140116_1036140.htm" TargetMode="External" /><Relationship Type="http://schemas.openxmlformats.org/officeDocument/2006/relationships/hyperlink" Id="rId38" Target="http://www.pbc.gov.cn/publish/goutongjiaoliu/524/2014/20140115182107809223330/20140115182107809223330_.html" TargetMode="External" /><Relationship Type="http://schemas.openxmlformats.org/officeDocument/2006/relationships/hyperlink" Id="rId41" Target="http://www.sac.net.cn/tzgg/201401/t20140113_79825.html" TargetMode="External" /><Relationship Type="http://schemas.openxmlformats.org/officeDocument/2006/relationships/hyperlink" Id="rId32" Target="http://www.sse.com.cn/lawandrules/guide/disclosure/specialmemo/c/c_20140113_3763164.shtml" TargetMode="External" /><Relationship Type="http://schemas.openxmlformats.org/officeDocument/2006/relationships/hyperlink" Id="rId69" Target="http://www.zhb.gov.cn/gkml/hbb/bgth/201401/t20140115_266439.htm" TargetMode="External" /><Relationship Type="http://schemas.openxmlformats.org/officeDocument/2006/relationships/hyperlink" Id="rId74"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第390期 - 2014年01月17日</dc:title>
  <dc:creator/>
</cp:coreProperties>
</file>