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第391期</w:t>
      </w:r>
      <w:r>
        <w:t xml:space="preserve"> </w:t>
      </w:r>
      <w:r>
        <w:t xml:space="preserve">-</w:t>
      </w:r>
      <w:r>
        <w:t xml:space="preserve"> </w:t>
      </w:r>
      <w:r>
        <w:t xml:space="preserve">2014年01月24日</w:t>
      </w:r>
    </w:p>
    <w:p>
      <w:hyperlink r:id="rId21">
        <w:r>
          <w:rPr>
            <w:rStyle w:val="Link"/>
          </w:rPr>
          <w:t xml:space="preserve">网络版</w:t>
        </w:r>
      </w:hyperlink>
    </w:p>
    <w:p>
      <w:pPr>
        <w:pStyle w:val="Heading1"/>
      </w:pPr>
      <w:bookmarkStart w:id="22" w:name="法讯中国第391期"/>
      <w:bookmarkEnd w:id="22"/>
      <w:r>
        <w:t xml:space="preserve">法讯中国第391期</w:t>
      </w:r>
    </w:p>
    <w:p>
      <w:pPr>
        <w:pStyle w:val="Heading2"/>
      </w:pPr>
      <w:bookmarkStart w:id="23" w:name="资本市场"/>
      <w:bookmarkEnd w:id="23"/>
      <w:r>
        <w:t xml:space="preserve">资本市场</w:t>
      </w:r>
    </w:p>
    <w:p>
      <w:pPr>
        <w:pStyle w:val="Heading3"/>
      </w:pPr>
      <w:bookmarkStart w:id="24" w:name="央行和证监会联合开展金融市场基础设施评估"/>
      <w:bookmarkEnd w:id="24"/>
      <w:r>
        <w:t xml:space="preserve">央行和证监会联合开展金融市场基础设施评估</w:t>
      </w:r>
    </w:p>
    <w:p>
      <w:r>
        <w:t xml:space="preserve">证监会网站1月21日消息，近日，央行、证监会办公厅联合发布《关于开展金融市场基础设施评估工作的通知》（以下简称《通知》），部署开展金融市场基础设施评估工作。</w:t>
      </w:r>
    </w:p>
    <w:p>
      <w:r>
        <w:t xml:space="preserve">根据《通知》，评估工作包括内部评估和外部评估两个阶段。其中，外部评估是指由中国人民银行和中国证券监督管理委员会组织成立专家组，对金融市场基础设施进行现场或非现场检查。</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圳前海试点融资租赁-无注册资本金门槛"/>
      <w:bookmarkEnd w:id="27"/>
      <w:r>
        <w:t xml:space="preserve">深圳前海试点融资租赁 无注册资本金门槛</w:t>
      </w:r>
    </w:p>
    <w:p>
      <w:r>
        <w:t xml:space="preserve">深圳市近日印发《关于推进前海湾保税港区开展融资租赁业务的试点意见》，从市场准入、海关政策、跨境融资等三个方面对前海发展融资租赁业进行扶持。</w:t>
      </w:r>
    </w:p>
    <w:p>
      <w:r>
        <w:t xml:space="preserve">《试点意见》提出，允许金融租赁公司、外商投资融资租赁公司、内资试点融资租赁公司在前海湾保税港区设立租赁项目子公司并开展融资租赁业务（含融资性租赁和经营性租赁），并按一般公司设立流程在深圳市市场监督管理局办理登记注册手续，不设最低注册资本金限制。</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人社部明确企业年金投资新增金融产品估值核算问题"/>
      <w:bookmarkEnd w:id="30"/>
      <w:r>
        <w:t xml:space="preserve">人社部明确企业年金投资新增金融产品估值核算问题</w:t>
      </w:r>
    </w:p>
    <w:p>
      <w:r>
        <w:t xml:space="preserve">1月20日，人社部发布《扩大投资范围后新增投资产品估值核算指导意见（试行）》，从2014年1月1日起施行。</w:t>
      </w:r>
    </w:p>
    <w:p>
      <w:r>
        <w:t xml:space="preserve">《意见》适用于企业年金基金或企业年金养老金产品投资商业银行理财产品、信托产品、股指期货时，相关管理机构进行估值核算的处理。</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基金业协会发布私募投资基金管理人登记和基金备案办法试行"/>
      <w:bookmarkEnd w:id="33"/>
      <w:r>
        <w:t xml:space="preserve">基金业协会发布《私募投资基金管理人登记和基金备案办法（试行）》</w:t>
      </w:r>
    </w:p>
    <w:p>
      <w:r>
        <w:t xml:space="preserve">1月17日，中国证券投资基金业协会发布了《私募投资基金管理人登记和基金备案办法（试行）》（以下简称《办法》），《办法》将于2月7日起施行。</w:t>
      </w:r>
    </w:p>
    <w:p>
      <w:r>
        <w:t xml:space="preserve">《办法》建立了私募基金行业自律机制，明确了基金业协会可以对私募投资基金管理人及其从业人员实施非现场检查和现场检查，建立诚信档案，接受投诉，开展行业纠纷调解，维护私募基金投资者合法权益。</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并购"/>
      <w:bookmarkEnd w:id="36"/>
      <w:r>
        <w:t xml:space="preserve">并购</w:t>
      </w:r>
    </w:p>
    <w:p>
      <w:pPr>
        <w:pStyle w:val="Heading3"/>
      </w:pPr>
      <w:bookmarkStart w:id="37" w:name="联想23亿美元收购ibmx86服务器业务"/>
      <w:bookmarkEnd w:id="37"/>
      <w:r>
        <w:t xml:space="preserve">联想23亿美元收购IBMx86服务器业务</w:t>
      </w:r>
    </w:p>
    <w:p>
      <w:r>
        <w:t xml:space="preserve">联想集团于1月23日港股收盘后公布，公司与国际商业机器(IBM)签订了收购协议，将以总代价23亿美元(约合151.31亿元人民币)收购IBM的x86服务器硬件及相关维护服务业务的若干资产及负债，其中，现金代价为20.7亿美元，其余2.3亿美元会以发行1.82亿股股份支付，相当于已发行股本约1.75%。</w:t>
      </w:r>
    </w:p>
    <w:p>
      <w:r>
        <w:t xml:space="preserve">联想本次收购的IBM资产包括：System x、Blade Center、Blade、Flex System、Pure Flex产品，Blade Network Technology等系统网络产品，其他相关有形物业、与业务相关的知识产权及已转让合约以及相关存货等。据悉，有关业务于截至去年12月底止的全年，税后亏损额为2640万美元。</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智飞生物收购上海荣盛加码疫苗业务"/>
      <w:bookmarkEnd w:id="40"/>
      <w:r>
        <w:t xml:space="preserve">智飞生物收购上海荣盛加码疫苗业务</w:t>
      </w:r>
    </w:p>
    <w:p>
      <w:r>
        <w:t xml:space="preserve">智飞生物1月22日公告称，拟收购上海荣盛85%的股权，收购涉及的主要产品为水痘疫苗，同时包括流感疫苗和其他疫苗。</w:t>
      </w:r>
    </w:p>
    <w:p>
      <w:r>
        <w:t xml:space="preserve">上海荣盛是国家级生物产业基地企业，上海市首批高新技术企业，其主营业务涵盖人用疫苗和体外诊断试剂两大领域。其中公司从事体外诊断试剂业务20多年，主要涉及免疫试剂、生化试剂和快检试剂等三大类产品，约100多个品种规格。疫苗业务涉及的水痘减毒活疫苗和流感疫苗已完成临床实验，其中水痘减毒活疫苗正处于等待国家食品药品监督管理总局现场核查和GMP认证阶段，通过后即取得药品生产文号和GMP证书。</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行业"/>
      <w:bookmarkEnd w:id="43"/>
      <w:r>
        <w:t xml:space="preserve">行业</w:t>
      </w:r>
    </w:p>
    <w:p>
      <w:pPr>
        <w:pStyle w:val="Heading3"/>
      </w:pPr>
      <w:bookmarkStart w:id="44" w:name="广电总局网站不得转发非实名用户上传微电影"/>
      <w:bookmarkEnd w:id="44"/>
      <w:r>
        <w:t xml:space="preserve">广电总局：网站不得转发非实名用户上传微电影</w:t>
      </w:r>
    </w:p>
    <w:p>
      <w:r>
        <w:t xml:space="preserve">广电总局官网1月20日消息，国家新闻出版广电总局近日印发《关于进一步完善网络剧、微电影等网络视听节目管理的补充通知》。</w:t>
      </w:r>
    </w:p>
    <w:p>
      <w:r>
        <w:t xml:space="preserve">《补充通知》强调，互联网视听节目服务单位不得播出未取得《广播电视节目制作经营许可证》机构制作的网络剧、微电影等网络视听节目。个人制作并上传的网络剧、微电影等网络视听节目，由转发该节目的互联网视听节目服务单位履行生产制作机构的责任。互联网视听节目服务单位只能转发已核实真实身份信息并符合内容管理规定的个人上传的网络剧、微电影等网络视听节目，不得转发非实名用户上传的此类节目。</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发改委鼓励通过竞争方式确定水电价格"/>
      <w:bookmarkEnd w:id="47"/>
      <w:r>
        <w:t xml:space="preserve">发改委鼓励通过竞争方式确定水电价格</w:t>
      </w:r>
    </w:p>
    <w:p>
      <w:r>
        <w:t xml:space="preserve">发改委网站1月22日消息，为合理反映水电市场价值，国家发改委近日发出通知，完善水电上网电价形成机制，提出鼓励通过竞争方式确定水电价格，探索通过招标等竞争方式确定水电项目业主和上网电价。</w:t>
      </w:r>
    </w:p>
    <w:p>
      <w:r>
        <w:t xml:space="preserve">通知规定，对于今后新投产水电站，跨省跨区域交易价格由供需双方参照受电地区省级电网企业平均购电价格扣减输电价格协商确定；省内消纳电量上网电价实行标杆电价制度，标杆电价以省级电网企业平均购电价格为基础，统筹考虑电力市场情况和水电开发成本制定。水电比重较大的省份可在水电标杆上网电价基础上实行丰枯分时电价或者分类标杆电价。同时，要建立水电价格动态调整机制，逐步统一流域梯级水电站上网电价。</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中央一号文件提出全面深化农村改革-加快推进农业现代化"/>
      <w:bookmarkEnd w:id="50"/>
      <w:r>
        <w:t xml:space="preserve">中央一号文件提出全面深化农村改革 加快推进农业现代化</w:t>
      </w:r>
    </w:p>
    <w:p>
      <w:r>
        <w:t xml:space="preserve">中央政府门户网站1月19日消息，中共中央、国务院近日印发了《关于全面深化农村改革加快推进农业现代化的若干意见》，共分8个部分33条。</w:t>
      </w:r>
    </w:p>
    <w:p>
      <w:r>
        <w:t xml:space="preserve">《意见》提出，实施以我为主、立足国内、确保产能、适度进口、科技支撑的国家粮食安全战略；更加积极地利用国际农产品市场和农业资源，有效调剂和补充国内粮食供给；稳步推进从财政预算编制环节清理和归并整合涉农资金；开展农业资源休养生息试点；在保障农户宅基地用益物权前提下，选择若干试点，慎重稳妥推进农民住房财产权抵押、担保、转让等。</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住建部要求切实加强安全生产管理"/>
      <w:bookmarkEnd w:id="53"/>
      <w:r>
        <w:t xml:space="preserve">住建部要求切实加强安全生产管理</w:t>
      </w:r>
    </w:p>
    <w:p>
      <w:r>
        <w:t xml:space="preserve">1月22日，住建部发布《住房城乡建设部办公厅关于切实加强安全生产管理的通知》。</w:t>
      </w:r>
    </w:p>
    <w:p>
      <w:r>
        <w:t xml:space="preserve">《通知》要求：强化规划管理，将安全作为城市规划建设前置条件；强化建筑市场监督执法，保障工程质量安全；强化建筑施工安全监管，坚决遏制重特大事故发生；强化房屋使用安全监管，切实防范房屋使用安全事故等。</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保险"/>
      <w:bookmarkEnd w:id="56"/>
      <w:r>
        <w:t xml:space="preserve">保险</w:t>
      </w:r>
    </w:p>
    <w:p>
      <w:pPr>
        <w:pStyle w:val="Heading3"/>
      </w:pPr>
      <w:bookmarkStart w:id="57" w:name="保监会印发加强网络保险监管工作方案"/>
      <w:bookmarkEnd w:id="57"/>
      <w:r>
        <w:t xml:space="preserve">保监会印发《加强网络保险监管工作方案》</w:t>
      </w:r>
    </w:p>
    <w:p>
      <w:r>
        <w:t xml:space="preserve">保监会官网1月20日消息，1月6日，中国保监会印发《加强网络保险监管工作方案》（以下简称《方案》）。</w:t>
      </w:r>
    </w:p>
    <w:p>
      <w:r>
        <w:t xml:space="preserve">《方案》要求各部门在梳理现行有关网络保险监管制度的基础上，从市场主体准入的条件和标准、经营行为的规范、网络客户合法利益保护等方面，加快制定并逐步完善保险公司、中介机构网络业务监管制度。</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wto"/>
      <w:bookmarkEnd w:id="60"/>
      <w:r>
        <w:t xml:space="preserve">WTO</w:t>
      </w:r>
    </w:p>
    <w:p>
      <w:pPr>
        <w:pStyle w:val="Heading3"/>
      </w:pPr>
      <w:bookmarkStart w:id="61" w:name="商务部公布对太阳能级多晶硅反倾销调查的最终裁定"/>
      <w:bookmarkEnd w:id="61"/>
      <w:r>
        <w:t xml:space="preserve">商务部公布对太阳能级多晶硅反倾销调查的最终裁定</w:t>
      </w:r>
    </w:p>
    <w:p>
      <w:r>
        <w:t xml:space="preserve">1月20日，商务部发布2014年度第5号公告，公布了对太阳能级多晶硅（Solar-Grade Polysilicon）反倾销调查的终裁决定。</w:t>
      </w:r>
    </w:p>
    <w:p>
      <w:r>
        <w:t xml:space="preserve">商务部最终裁定，在本案调查期内，原产于美国和韩国的进口太阳能级多晶硅产品存在倾销，中国太阳能级多晶硅产业受到实质损害，且倾销与实质损害之间存在因果关系。根据《中华人民共和国反倾销条例》有关规定，经商务部建议，国务院关税税则委员会决定，自2014年1月20日起，对上述产品征收反倾销税。进口经营者在进口上述产品时，应依据公告中列明的各公司税率向中国海关缴纳反倾销税。</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区域全面经济伙伴关系协定第三轮谈判在马来西亚举行"/>
      <w:bookmarkEnd w:id="64"/>
      <w:r>
        <w:t xml:space="preserve">《区域全面经济伙伴关系协定》第三轮谈判在马来西亚举行</w:t>
      </w:r>
    </w:p>
    <w:p>
      <w:r>
        <w:t xml:space="preserve">1月20日，《区域全面经济伙伴关系协定》（RCEP）第三轮谈判在马来西亚吉隆坡举行。中国、日本、韩国、澳大利亚、新西兰、印度和东盟10国代表与会。此轮谈判的重点内容包括市场准入模式、协定章节框架和相关领域案文要素等。谈判为期五天，各领域议题由工作组讨论，主要议题和协调工作由贸易谈判委员会负责。</w:t>
      </w:r>
    </w:p>
    <w:p>
      <w:r>
        <w:t xml:space="preserve">RCEP谈判于2012年11月正式启动，目标是达成一个现代、全面、高质量和互惠的经济伙伴关系协定。</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其他"/>
      <w:bookmarkEnd w:id="67"/>
      <w:r>
        <w:t xml:space="preserve">其他</w:t>
      </w:r>
    </w:p>
    <w:p>
      <w:pPr>
        <w:pStyle w:val="Heading3"/>
      </w:pPr>
      <w:bookmarkStart w:id="68" w:name="发改委5月起实施价格违法行为举报处理规定"/>
      <w:bookmarkEnd w:id="68"/>
      <w:r>
        <w:t xml:space="preserve">发改委：5月起实施价格违法行为举报处理规定</w:t>
      </w:r>
    </w:p>
    <w:p>
      <w:r>
        <w:t xml:space="preserve">发改委网站1月21日消息，发改委日前审议并通过修订后的《价格违法行为举报处理规定》，自2014年5月1日起施行。</w:t>
      </w:r>
    </w:p>
    <w:p>
      <w:r>
        <w:t xml:space="preserve">根据《规定》，举报人可以通过12358举报电话、信件、互联网、传真、走访等形式向价格主管部门提出价格举报。被举报人因价格违法行为致使消费者多付价款的，价格主管部门应当在对被举报的价格违法行为作出行政处罚决定前，责令被举报人将多收价款退还消费者。</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国资委印发关于以经济增加值为核心加强中央企业价值管理的指导意见"/>
      <w:bookmarkEnd w:id="71"/>
      <w:r>
        <w:t xml:space="preserve">国资委印发《关于以经济增加值为核心加强中央企业价值管理的指导意见》</w:t>
      </w:r>
    </w:p>
    <w:p>
      <w:r>
        <w:t xml:space="preserve">国资委官网1月20日消息，1月10日，国务院国有资产监督管理委员会印发《关于以经济增加值为核心加强中央企业价值管理的指导意见》（以下简称《意见》）。</w:t>
      </w:r>
    </w:p>
    <w:p>
      <w:r>
        <w:t xml:space="preserve">《意见》要求，中央企业要坚持提升发展质量和效率的考核导向，将经济增加值作为主要考核指标，并逐步提高其权重。要结合企业内部不同板块、不同发展阶段的特点，科学设定资本成本率、从严把握经济增加值计算调整项，推进差异化考核，有效平衡当期回报与可持续发展。</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两部门鼓励民营企业积极投身公益慈善事业"/>
      <w:bookmarkEnd w:id="74"/>
      <w:r>
        <w:t xml:space="preserve">两部门鼓励民营企业积极投身公益慈善事业</w:t>
      </w:r>
    </w:p>
    <w:p>
      <w:r>
        <w:t xml:space="preserve">民政部网站1月20日消息，1月9日，民政部、全国工商联联合发布《民政部、全国工商联关于鼓励支持民营企业积极投身公益慈善事业的意见 》（以下简称《意见》）。</w:t>
      </w:r>
    </w:p>
    <w:p>
      <w:r>
        <w:t xml:space="preserve">《意见》鼓励支持民营企业通过捐赠资金、产权、物资和服务等方式参与公益慈善事业。同时，《意见》还鼓励支持具备条件的民营企业依法设立基金会，或在慈善组织中设立专项基金，探索企业留本冠名慈善基金、公益信托等新载体。</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5" w:name="内幕交易天音控股财富成长遭证监会处罚"/>
      <w:bookmarkEnd w:id="75"/>
      <w:r>
        <w:t xml:space="preserve">内幕交易天音控股财富成长遭证监会处罚</w:t>
      </w:r>
    </w:p>
    <w:p>
      <w:r>
        <w:t xml:space="preserve">证监会1月22日公布的行政处罚决定书显示，在天音控股公布与苹果的合作事宜前夕，深圳财富成长投资有限公司(下称“财富成长”)，时任财富成长总经理唐雪来，时任天音控股证券事务代表肖猛等当事人违规买卖公司股票，由此构成内幕交易。</w:t>
      </w:r>
    </w:p>
    <w:p>
      <w:r>
        <w:t xml:space="preserve">证监会指出，天音通信与苹果公司签订协议销售苹果产品事项，属于内幕信息。肖猛与唐雪来的行为违反了《证券法》相关规定，而对于财富成长的违法行为，唐雪来是直接负责的主管人员。</w:t>
      </w:r>
    </w:p>
    <w:p>
      <w:r>
        <w:t xml:space="preserve">基于上述违法事实此，证监会给出了重罚：没收财富成长违法所得19.6万元，并处以58.79万元罚款；对唐雪来给予警告，并处以20万元罚款；对肖猛处以10万元罚款。相关各方最终为违规行为付出了代价。</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3"/>
      </w:pPr>
      <w:bookmarkStart w:id="78" w:name="美法官裁定四大会计师事务所中国关联公司暂停审计美上市公司"/>
      <w:bookmarkEnd w:id="78"/>
      <w:r>
        <w:t xml:space="preserve">美法官裁定四大会计师事务所中国关联公司暂停审计美上市公司</w:t>
      </w:r>
    </w:p>
    <w:p>
      <w:r>
        <w:t xml:space="preserve">1月22日美国证券交易委员会(SEC)的一位行政法法官Cameron Elliot裁定，四大会计师事务所和一家中国会计师事务所此前拒绝向SEC提供部分客户审计文件协助其对这些公司涉嫌造假的调查，这一做法违反了美国的法律。四大会计师事务所是指普华永道、德勤会计师行、毕马威会计事务所和安永会计师事务所。</w:t>
      </w:r>
    </w:p>
    <w:p>
      <w:r>
        <w:t xml:space="preserve">Elliot对这一备受关注的争议做出的裁决不会立即生效，上述会计师事务可以先就该裁决向SEC自身提起上诉，之后还可以向美国联邦法院上诉。但若SEC或联邦法院最终维持该裁决，则可能导致超过100家在美国市场上市的中国企业暂时没有审计机构，并可能妨碍在中国有大量业务的美国跨国公司的审计工作。</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中诚30亿问题信托兑付危机现曙光"/>
      <w:bookmarkEnd w:id="81"/>
      <w:r>
        <w:t xml:space="preserve">中诚30亿问题信托兑付危机现曙光</w:t>
      </w:r>
    </w:p>
    <w:p>
      <w:r>
        <w:t xml:space="preserve">1月22日晚间，中诚信托的公告称山西紫鑫矿业集团交城神宇煤矿取得了换发的采矿许可证，这为该项目的产权转让提供了可能，也为推动矿产信托的兑付向前迈进了重要一步。</w:t>
      </w:r>
    </w:p>
    <w:p>
      <w:r>
        <w:t xml:space="preserve">中诚信托“诚至金开1号”成立于2011年初，募集30.3亿元资金主要对山西振富能源集团有限公司进行股权投资。而2012年6月，振富能源实际控制人因涉非法集资被捕，振富能源因资不抵债，企业现金流断裂。振富能源旗下山西紫鑫矿业集团多处煤业陷入停产或采矿权证未获批复状态，从而使“诚至金开1号”陷入兑付困局。</w:t>
      </w:r>
    </w:p>
    <w:p>
      <w:r>
        <w:t xml:space="preserve">1月31日将是该信托兑付大限。中诚信托最新公告显示，临县白家峁村形成决议，一致同意无条件配合并支持白家峁煤矿审批事宜。山西紫鑫矿业集团交城神宇煤矿和白家峁煤矿恰是这一矿产信托产品的核心资产，尤其是白家峁煤矿，既是最有价值的核心资产，又因为迟迟未能确权而直接威胁到该信托产品的安全。公司同时还表示，正在积极寻找潜在投资者。目前，受托人正在与有意向的若干投资者商谈，就具体投资细节加紧磋商。</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4">
        <w:r>
          <w:rPr>
            <w:rStyle w:val="Link"/>
          </w:rPr>
          <w:t xml:space="preserve">unsubscribe@charltonslaw.com</w:t>
        </w:r>
      </w:hyperlink>
    </w:p>
    <w:p>
      <w:r>
        <w:rPr>
          <w:b/>
        </w:rPr>
        <w:t xml:space="preserve">易周律师行 - 法讯 - 中国 - 第391期 - 2014年01月24日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d01254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7" Target="17.pdf" TargetMode="External" /><Relationship Type="http://schemas.openxmlformats.org/officeDocument/2006/relationships/hyperlink" Id="rId80" Target="18.pdf" TargetMode="External" /><Relationship Type="http://schemas.openxmlformats.org/officeDocument/2006/relationships/hyperlink" Id="rId83" Target="19.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41" Target="http://epaper.stcn.com/paper/zqsb/html/epaper/index/content_540280.htm" TargetMode="External" /><Relationship Type="http://schemas.openxmlformats.org/officeDocument/2006/relationships/hyperlink" Id="rId38" Target="http://epaper.stcn.com/paper/zqsb/html/epaper/index/content_540954.htm" TargetMode="External" /><Relationship Type="http://schemas.openxmlformats.org/officeDocument/2006/relationships/hyperlink" Id="rId76" Target="http://finance.sina.com.cn/stock/s/20140123/030218050970.shtml" TargetMode="External" /><Relationship Type="http://schemas.openxmlformats.org/officeDocument/2006/relationships/hyperlink" Id="rId79" Target="http://money.163.com/14/0123/09/9J912V9P00253B0H.html" TargetMode="External" /><Relationship Type="http://schemas.openxmlformats.org/officeDocument/2006/relationships/hyperlink" Id="rId82" Target="http://news.xinhuanet.com/fortune/2014-01/23/c_126047472.htm" TargetMode="External" /><Relationship Type="http://schemas.openxmlformats.org/officeDocument/2006/relationships/hyperlink" Id="rId34" Target="http://www.amac.org.cn/xhdt/zxdt/385463.shtml" TargetMode="External" /><Relationship Type="http://schemas.openxmlformats.org/officeDocument/2006/relationships/hyperlink" Id="rId21" Target="http://www.charltonslaw.com.cn/china-news-alerts-cn-issue-391/" TargetMode="External" /><Relationship Type="http://schemas.openxmlformats.org/officeDocument/2006/relationships/hyperlink" Id="rId58" Target="http://www.circ.gov.cn/web/site0/tab5168/info3901708.htm" TargetMode="External" /><Relationship Type="http://schemas.openxmlformats.org/officeDocument/2006/relationships/hyperlink" Id="rId25" Target="http://www.csrc.gov.cn/pub/newsite/bgt/xwdd/201401/t20140121_242950.htm" TargetMode="External" /><Relationship Type="http://schemas.openxmlformats.org/officeDocument/2006/relationships/hyperlink" Id="rId28" Target="http://www.gd.xinhuanet.com/newscenter/2014-01/22/c_119070998.htm" TargetMode="External" /><Relationship Type="http://schemas.openxmlformats.org/officeDocument/2006/relationships/hyperlink" Id="rId51" Target="http://www.gov.cn/jrzg/2014-01/19/content_2570454.htm" TargetMode="External" /><Relationship Type="http://schemas.openxmlformats.org/officeDocument/2006/relationships/hyperlink" Id="rId69" Target="http://www.mca.gov.cn/article/zwgk/fvfg/shflhshsw/201401/20140100578753.shtml" TargetMode="External" /><Relationship Type="http://schemas.openxmlformats.org/officeDocument/2006/relationships/hyperlink" Id="rId65" Target="http://www.mofcom.gov.cn/article/ae/ai/201401/20140100466723.shtml" TargetMode="External" /><Relationship Type="http://schemas.openxmlformats.org/officeDocument/2006/relationships/hyperlink" Id="rId62" Target="http://www.mofcom.gov.cn/article/ae/ai/201401/20140100466742.shtml" TargetMode="External" /><Relationship Type="http://schemas.openxmlformats.org/officeDocument/2006/relationships/hyperlink" Id="rId31" Target="http://www.mohrss.gov.cn/SYrlzyhshbzb/ldbk/shehuibaozhang/jijinjiandu/201401/t20140122_122915.htm" TargetMode="External" /><Relationship Type="http://schemas.openxmlformats.org/officeDocument/2006/relationships/hyperlink" Id="rId54" Target="http://www.mohurd.gov.cn/zcfg/jsbwj_0/jsbwjgczl/201401/t20140122_216936.html" TargetMode="External" /><Relationship Type="http://schemas.openxmlformats.org/officeDocument/2006/relationships/hyperlink" Id="rId45" Target="http://www.sarft.gov.cn/articles/2014/01/20/20140120111050370063.html" TargetMode="External" /><Relationship Type="http://schemas.openxmlformats.org/officeDocument/2006/relationships/hyperlink" Id="rId72" Target="http://www.sasac.gov.cn/n1180/n1566/n257060/n257203/15675621.html" TargetMode="External" /><Relationship Type="http://schemas.openxmlformats.org/officeDocument/2006/relationships/hyperlink" Id="rId48" Target="http://www.sdpc.gov.cn/xwfb/t20140122_576725.htm" TargetMode="External" /><Relationship Type="http://schemas.openxmlformats.org/officeDocument/2006/relationships/hyperlink" Id="rId8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7" Target="17.pdf" TargetMode="External" /><Relationship Type="http://schemas.openxmlformats.org/officeDocument/2006/relationships/hyperlink" Id="rId80" Target="18.pdf" TargetMode="External" /><Relationship Type="http://schemas.openxmlformats.org/officeDocument/2006/relationships/hyperlink" Id="rId83" Target="19.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41" Target="http://epaper.stcn.com/paper/zqsb/html/epaper/index/content_540280.htm" TargetMode="External" /><Relationship Type="http://schemas.openxmlformats.org/officeDocument/2006/relationships/hyperlink" Id="rId38" Target="http://epaper.stcn.com/paper/zqsb/html/epaper/index/content_540954.htm" TargetMode="External" /><Relationship Type="http://schemas.openxmlformats.org/officeDocument/2006/relationships/hyperlink" Id="rId76" Target="http://finance.sina.com.cn/stock/s/20140123/030218050970.shtml" TargetMode="External" /><Relationship Type="http://schemas.openxmlformats.org/officeDocument/2006/relationships/hyperlink" Id="rId79" Target="http://money.163.com/14/0123/09/9J912V9P00253B0H.html" TargetMode="External" /><Relationship Type="http://schemas.openxmlformats.org/officeDocument/2006/relationships/hyperlink" Id="rId82" Target="http://news.xinhuanet.com/fortune/2014-01/23/c_126047472.htm" TargetMode="External" /><Relationship Type="http://schemas.openxmlformats.org/officeDocument/2006/relationships/hyperlink" Id="rId34" Target="http://www.amac.org.cn/xhdt/zxdt/385463.shtml" TargetMode="External" /><Relationship Type="http://schemas.openxmlformats.org/officeDocument/2006/relationships/hyperlink" Id="rId21" Target="http://www.charltonslaw.com.cn/china-news-alerts-cn-issue-391/" TargetMode="External" /><Relationship Type="http://schemas.openxmlformats.org/officeDocument/2006/relationships/hyperlink" Id="rId58" Target="http://www.circ.gov.cn/web/site0/tab5168/info3901708.htm" TargetMode="External" /><Relationship Type="http://schemas.openxmlformats.org/officeDocument/2006/relationships/hyperlink" Id="rId25" Target="http://www.csrc.gov.cn/pub/newsite/bgt/xwdd/201401/t20140121_242950.htm" TargetMode="External" /><Relationship Type="http://schemas.openxmlformats.org/officeDocument/2006/relationships/hyperlink" Id="rId28" Target="http://www.gd.xinhuanet.com/newscenter/2014-01/22/c_119070998.htm" TargetMode="External" /><Relationship Type="http://schemas.openxmlformats.org/officeDocument/2006/relationships/hyperlink" Id="rId51" Target="http://www.gov.cn/jrzg/2014-01/19/content_2570454.htm" TargetMode="External" /><Relationship Type="http://schemas.openxmlformats.org/officeDocument/2006/relationships/hyperlink" Id="rId69" Target="http://www.mca.gov.cn/article/zwgk/fvfg/shflhshsw/201401/20140100578753.shtml" TargetMode="External" /><Relationship Type="http://schemas.openxmlformats.org/officeDocument/2006/relationships/hyperlink" Id="rId65" Target="http://www.mofcom.gov.cn/article/ae/ai/201401/20140100466723.shtml" TargetMode="External" /><Relationship Type="http://schemas.openxmlformats.org/officeDocument/2006/relationships/hyperlink" Id="rId62" Target="http://www.mofcom.gov.cn/article/ae/ai/201401/20140100466742.shtml" TargetMode="External" /><Relationship Type="http://schemas.openxmlformats.org/officeDocument/2006/relationships/hyperlink" Id="rId31" Target="http://www.mohrss.gov.cn/SYrlzyhshbzb/ldbk/shehuibaozhang/jijinjiandu/201401/t20140122_122915.htm" TargetMode="External" /><Relationship Type="http://schemas.openxmlformats.org/officeDocument/2006/relationships/hyperlink" Id="rId54" Target="http://www.mohurd.gov.cn/zcfg/jsbwj_0/jsbwjgczl/201401/t20140122_216936.html" TargetMode="External" /><Relationship Type="http://schemas.openxmlformats.org/officeDocument/2006/relationships/hyperlink" Id="rId45" Target="http://www.sarft.gov.cn/articles/2014/01/20/20140120111050370063.html" TargetMode="External" /><Relationship Type="http://schemas.openxmlformats.org/officeDocument/2006/relationships/hyperlink" Id="rId72" Target="http://www.sasac.gov.cn/n1180/n1566/n257060/n257203/15675621.html" TargetMode="External" /><Relationship Type="http://schemas.openxmlformats.org/officeDocument/2006/relationships/hyperlink" Id="rId48" Target="http://www.sdpc.gov.cn/xwfb/t20140122_576725.htm" TargetMode="External" /><Relationship Type="http://schemas.openxmlformats.org/officeDocument/2006/relationships/hyperlink" Id="rId8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第391期 - 2014年01月24日</dc:title>
  <dc:creator/>
</cp:coreProperties>
</file>