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第392期</w:t>
      </w:r>
      <w:r>
        <w:t xml:space="preserve"> </w:t>
      </w:r>
      <w:r>
        <w:t xml:space="preserve">-</w:t>
      </w:r>
      <w:r>
        <w:t xml:space="preserve"> </w:t>
      </w:r>
      <w:r>
        <w:t xml:space="preserve">2014年01月30日</w:t>
      </w:r>
    </w:p>
    <w:p>
      <w:hyperlink r:id="rId21">
        <w:r>
          <w:rPr>
            <w:rStyle w:val="Link"/>
          </w:rPr>
          <w:t xml:space="preserve">网络版</w:t>
        </w:r>
      </w:hyperlink>
    </w:p>
    <w:p>
      <w:pPr>
        <w:pStyle w:val="Heading1"/>
      </w:pPr>
      <w:bookmarkStart w:id="22" w:name="法讯中国第392期"/>
      <w:bookmarkEnd w:id="22"/>
      <w:r>
        <w:t xml:space="preserve">法讯中国第392期</w:t>
      </w:r>
    </w:p>
    <w:p>
      <w:pPr>
        <w:pStyle w:val="Heading2"/>
      </w:pPr>
      <w:bookmarkStart w:id="23" w:name="资本市场"/>
      <w:bookmarkEnd w:id="23"/>
      <w:r>
        <w:t xml:space="preserve">资本市场</w:t>
      </w:r>
    </w:p>
    <w:p>
      <w:pPr>
        <w:pStyle w:val="Heading3"/>
      </w:pPr>
      <w:bookmarkStart w:id="24" w:name="财政部修订印发两项会计准则"/>
      <w:bookmarkEnd w:id="24"/>
      <w:r>
        <w:t xml:space="preserve">财政部修订印发两项会计准则</w:t>
      </w:r>
    </w:p>
    <w:p>
      <w:r>
        <w:t xml:space="preserve">1月26日，财政部印发《企业会计准则第39号——公允价值计量》、《企业会计准则第30号——财务报表列报》，自2014年7月1日起在所有执行企业会计准则的企业范围内施行，鼓励在境外上市的企业提前执行。</w:t>
      </w:r>
    </w:p>
    <w:p>
      <w:r>
        <w:t xml:space="preserve">其中，《企业会计准则第39号——公允价值计量》规范了公允价值的计量和披露，适用于其他相关会计准则要求或者允许采用公允价值进行计量或披露的情形。</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财政部进一步扩大财政县域金融机构涉农贷款增量奖励试点范围"/>
      <w:bookmarkEnd w:id="27"/>
      <w:r>
        <w:t xml:space="preserve">财政部进一步扩大财政县域金融机构涉农贷款增量奖励试点范围</w:t>
      </w:r>
    </w:p>
    <w:p>
      <w:r>
        <w:t xml:space="preserve">财政部网站1月27日消息，1月21日，财政部印发《关于进一步扩大财政县域金融机构涉农贷款增量奖励试点范围的通知》（以下简称《通知》）。 根据《通知》，山西、福建、海南、重庆、贵州、西藏、青海7省（区、市）被纳入财政县域金融机构涉农贷款增量奖励试点范围。</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证监会与白俄罗斯签署合作备忘录"/>
      <w:bookmarkEnd w:id="30"/>
      <w:r>
        <w:t xml:space="preserve">证监会与白俄罗斯签署合作备忘录</w:t>
      </w:r>
    </w:p>
    <w:p>
      <w:r>
        <w:t xml:space="preserve">证监会网站1月28日消息，1月20日，经国务院总理李克强和白俄罗斯总理米哈伊尔•米亚斯尼科维奇见证，中国证监会副主席刘新华与白俄罗斯共和国财政部第一副部长弗拉基米尔•阿马林日前在北京签署了《证券期货监管合作谅解备忘录》。</w:t>
      </w:r>
    </w:p>
    <w:p>
      <w:r>
        <w:t xml:space="preserve">证监会有关负责人表示，监管合作谅解备忘录的签署，对于进一步加强双方在证券期货领域的监管交流合作、促进双方资本市场的健康发展均具有重要的意义，标志着双方证券监管机构的合作进入一个新的阶段。</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起内幕交易案揭秘"/>
      <w:bookmarkEnd w:id="33"/>
      <w:r>
        <w:t xml:space="preserve">3起内幕交易案揭秘</w:t>
      </w:r>
    </w:p>
    <w:p>
      <w:r>
        <w:t xml:space="preserve">近期，证监会公布了多起内幕交易案件，涉及蓝色光标、爱仕达、捷成股份等上市公司，多位相关当事人受到证监会处罚。其中，爱仕达内幕交易案，政府官员王永进牵扯其中，被处以12.77万元罚款。</w:t>
      </w:r>
    </w:p>
    <w:p>
      <w:r>
        <w:t xml:space="preserve">2010年8月9日，蓝色光标宣布筹划重大资产购买事项并从当日起停牌，9月3日宣告终止重组事项。近期，证监会披露了有关蓝色光标重组的内幕交易处罚，造成当年重组失败的具体原因浮出水面。据悉，泄密者系重组经办律师米兴平，其堂姐夫冯喜利在获悉内幕消息后，利用母亲和朋友的账户交易“蓝色光标”股票，合计获利4.69万元，证监会决定对米兴平处以3万元罚款；没收冯喜利违法所得4.69万元，并处以14.07万元罚款。</w:t>
      </w:r>
    </w:p>
    <w:p>
      <w:r>
        <w:t xml:space="preserve">此外，证监会公布的行政处罚决定书显示，北京冠华荣信系统工程股份有限公司董事长宋辉东涉嫌内幕交易捷成股份。证监会认定宋辉东构成内幕交易，决定没收宋辉东违法所得48388.03元，并处以48388.03元罚款。另一起北京好友谊缘投资咨询有限公司操纵市场案也与捷成股份有关，证监会认定，北京好友谊缘投资法人代表柳宏在2011年6月2日至2011年7月13日操作“柳宏”等18个账户交易捷成股份股票的行为构成操纵市场，最终对柳宏处以150万元罚款。</w:t>
      </w:r>
    </w:p>
    <w:p>
      <w:r>
        <w:t xml:space="preserve">爱仕达于2012年宣布到浙江温岭市东部产业集聚区（简称“东部新区”）投资，并享受政府“退二进三”政策，而参与此事的东部新区管委会副主任王永进对“爱仕达”股票进行内幕交易，获利4.26万元。证监会认定，杨某尧操作“王某青”账户买卖“爱仕达”股票是由王永进操控。王永进作为内幕信息的知情人，在内幕信息敏感期内传递内幕信息给杨某尧、操作“王某青”账户买卖“爱仕达”，其行为构成内幕交易，决定没收王永进违法所得4.26万元，并处以12.77万元罚款。</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行业"/>
      <w:bookmarkEnd w:id="36"/>
      <w:r>
        <w:t xml:space="preserve">行业</w:t>
      </w:r>
    </w:p>
    <w:p>
      <w:pPr>
        <w:pStyle w:val="Heading3"/>
      </w:pPr>
      <w:bookmarkStart w:id="37" w:name="中央要求推进农村扶贫开发工作"/>
      <w:bookmarkEnd w:id="37"/>
      <w:r>
        <w:t xml:space="preserve">中央要求推进农村扶贫开发工作</w:t>
      </w:r>
    </w:p>
    <w:p>
      <w:r>
        <w:t xml:space="preserve">新华网1月25日消息，近日，中共中央办公厅、国务院办公厅印发了《关于创新机制扎实推进农村扶贫开发工作的意见》。</w:t>
      </w:r>
    </w:p>
    <w:p>
      <w:r>
        <w:t xml:space="preserve">《意见》明确了当前和今后一个时期扶贫开发的6个工作机制，具体包括：1、改进贫困县考核机制。2、建立精准扶贫工作机制。3、健全干部驻村帮扶机制。 4、改革财政专项扶贫资金管理机制。5、完善金融服务机制。6、创新社会参与机制。及10项重点工作：1、村级道路畅通工作。2、饮水安全工作。3、农村电力保障工作。4、危房改造工作。5、特色产业增收工作。6、乡村旅游扶贫工作。 7、教育扶贫工作。8、卫生和计划生育工作。9、文化建设工作。10、贫困村信息化工作。</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两部门加强煤矿井下防爆柴油机无轨胶轮车安全管理"/>
      <w:bookmarkEnd w:id="40"/>
      <w:r>
        <w:t xml:space="preserve">两部门加强煤矿井下防爆柴油机无轨胶轮车安全管理</w:t>
      </w:r>
    </w:p>
    <w:p>
      <w:r>
        <w:t xml:space="preserve">国家安监局网站1月26日消息，1月21日，国家安监局、煤矿安监局发布《关于加强煤矿井下防爆柴油机无轨胶轮车安全管理的通知》。</w:t>
      </w:r>
    </w:p>
    <w:p>
      <w:r>
        <w:t xml:space="preserve">《通知》要求煤矿企业必须采购、使用具有煤矿矿用产品安全标志的防爆无轨胶轮车，严禁非防爆机动车辆入井，严禁采用非专用人车运送井下作业人员。同时，防爆无轨胶轮车生产企业要严格执行矿用产品安全标志管理规定。</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国家发改委今年将研究设立铁路发展基金"/>
      <w:bookmarkEnd w:id="43"/>
      <w:r>
        <w:t xml:space="preserve">国家发改委：今年将研究设立铁路发展基金</w:t>
      </w:r>
    </w:p>
    <w:p>
      <w:r>
        <w:t xml:space="preserve">国家发改委1月29日发文称，2014年交通发展改革工作将围绕构建综合交通运输体系，深入推进基础设施建设，研究设立铁路发展基金，并组织开展丝绸之路经济带和海上丝绸之路骨干通道建设合作。</w:t>
      </w:r>
    </w:p>
    <w:p>
      <w:r>
        <w:t xml:space="preserve">发改委表示，在全面推进交通领域各项改革上，一是要继续深化铁路投融资体制改革，贯彻落实《国务院关于改革铁路投融资体制加快推进铁路建设的意见》，抓紧研究制定具体改革配套措施,研究设立铁路发展基金；二是完善普通国道投融资体制；三是推进民航领域管理体制改革，继续按照属地化改革方向，深化机场改革；四是改进城市轨道交通规划管理方式，城市轨道交通审批项目下放后，做到监管措施同步到位，研究出台《关于加强城市轨道交通规划建设管理的通知》；五是探索综合交通枢纽建设发展新机制，抓住现在城市空间布局优化调整；六是创新行政审批管理方式。</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高通或面临发改委10亿美元反垄断罚金"/>
      <w:bookmarkEnd w:id="46"/>
      <w:r>
        <w:t xml:space="preserve">高通或面临发改委10亿美元反垄断罚金</w:t>
      </w:r>
    </w:p>
    <w:p>
      <w:r>
        <w:t xml:space="preserve">全球最大智能手机芯片供应商高通公司可能面临创纪录的超10亿美元罚金。发改委去年对高通发起反垄断调查，目前正与该公司举行会谈。发改委本月表示，会谈仍在进行，进一步的审查结果仍有待出炉。</w:t>
      </w:r>
    </w:p>
    <w:p>
      <w:r>
        <w:t xml:space="preserve">今年，中国推广上网速度更快的4G移动通讯网络技术。去年，中国工信部曾表示，中国4G移动网络的投资可能达到1000亿人民币(约合164亿美元)。高通公司掌握该行业重要的专利技术，希望从中赚取大笔的手机芯片牌照费。</w:t>
      </w:r>
    </w:p>
    <w:p>
      <w:r>
        <w:t xml:space="preserve">中国发改委启动针对信息技术供应商的集中调查，尤其是那些拥有移动设备和网络专利许可技术的公司。根据《反垄断法》，发改委可以对企业处以罚款，罚金标准为该企业上一年度年营业额的1%-10%，具体罚金数额取决于最终的调查结果。</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wto"/>
      <w:bookmarkEnd w:id="49"/>
      <w:r>
        <w:t xml:space="preserve">WTO</w:t>
      </w:r>
    </w:p>
    <w:p>
      <w:pPr>
        <w:pStyle w:val="Heading3"/>
      </w:pPr>
      <w:bookmarkStart w:id="50" w:name="中国对美国光伏产品反倾销调查作出回应"/>
      <w:bookmarkEnd w:id="50"/>
      <w:r>
        <w:t xml:space="preserve">中国对美国光伏产品反倾销调查作出回应</w:t>
      </w:r>
    </w:p>
    <w:p>
      <w:r>
        <w:t xml:space="preserve">商务部网站1月26日消息称，1月23日，美国商务部决定对中国输美光伏产品发起反倾销反补贴调查。商务部进出口公平贸易局负责人就此发表谈话指出，这是继2011年11月美对原产于中国的光伏电池开启双反调查以来，对我光伏产品再次进行双反调查，中方对此表示严重关切。</w:t>
      </w:r>
    </w:p>
    <w:p>
      <w:r>
        <w:t xml:space="preserve">中方再次敦促美方，审慎处理当前的双反调查，慎重采取措施，终止调查程序。中方将密切关注该案的进展，评估其对中国光伏业界造成的影响，坚决利用各种机制维权。</w:t>
      </w:r>
    </w:p>
    <w:p>
      <w:r>
        <w:t xml:space="preserve">美国商务部和美国国际贸易委员会正在展开针对来自中国大陆和台湾地区的光伏产品的两组并行的调查，称来自两地的太阳能面板制造商可能通过使用来自其他国家的面板元件组装面板这样的漏洞来规避关税。</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并购"/>
      <w:bookmarkEnd w:id="53"/>
      <w:r>
        <w:t xml:space="preserve">并购</w:t>
      </w:r>
    </w:p>
    <w:p>
      <w:pPr>
        <w:pStyle w:val="Heading3"/>
      </w:pPr>
      <w:bookmarkStart w:id="54" w:name="兴发集团将增发收购泰盛公司51股权"/>
      <w:bookmarkEnd w:id="54"/>
      <w:r>
        <w:t xml:space="preserve">兴发集团将增发收购泰盛公司51%股权</w:t>
      </w:r>
    </w:p>
    <w:p>
      <w:r>
        <w:t xml:space="preserve">兴发集团1月27日公告，拟以12.81元/股的价格向浙江金帆达公司发行约9460万股股份，购买其持有的泰盛公司51%的股权。</w:t>
      </w:r>
    </w:p>
    <w:p>
      <w:r>
        <w:t xml:space="preserve">根据泰盛公司《审计报告》，2013年泰盛公司的营业收入为22.2亿元，净利润为4.69亿元；2013年12月31日经审计的资产总额为10.53亿元，净资产为5.3亿元。另据《资产评估报告》，在评估基准日泰盛公司采取收益法评估的全部权益价值的评估值为23.9亿元。经友好协商，双方确定泰盛公司51%股权的交易价格为12.12亿元。</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新时达定增收购众为兴加码工业自动化"/>
      <w:bookmarkEnd w:id="57"/>
      <w:r>
        <w:t xml:space="preserve">新时达定增收购众为兴加码工业自动化</w:t>
      </w:r>
    </w:p>
    <w:p>
      <w:r>
        <w:t xml:space="preserve">新时达1月28日公告，公司拟通过非公开发行股份和支付现金相结合的方式向曾逸等8名交易对方购买众为兴公司100%的股份，本次交易完成后，众为兴将成为新时达的全资子公司。</w:t>
      </w:r>
    </w:p>
    <w:p>
      <w:r>
        <w:t xml:space="preserve">公告显示，众为兴100%股份交易价格为6亿元。为此新时代将发行股数合计为 4118.98万股，发行价格为10.59元/股，支付现金对价1.64亿元。交易对方曾逸、张为菊、钱作忠、众智兴承诺，众为兴2014年、2015年、2016年实现的合并报表在扣非后的净利润不低于3700万元、5000万元、6300万元。如果实际净利润低于上述承诺净利润，则交易对方将按协议规定进行补偿。</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瀚蓝环境并购创冠中国布局环保领域"/>
      <w:bookmarkEnd w:id="60"/>
      <w:r>
        <w:t xml:space="preserve">瀚蓝环境并购创冠中国布局环保领域</w:t>
      </w:r>
    </w:p>
    <w:p>
      <w:r>
        <w:t xml:space="preserve">瀚蓝环境召开第二次董事会，就重大资产重组财务细节等内容进行了说明。遵循公司全方位布局环保领域的发展思路，瀚蓝环境此次重组不仅突破了区域发展的瓶颈，更彰显了其立志布局全国的决心。</w:t>
      </w:r>
    </w:p>
    <w:p>
      <w:r>
        <w:t xml:space="preserve">2013年底，瀚蓝环境公布重大资产重组方案：拟以8.34元/股发行支付7.5亿元、现金支付11亿元购买创冠环保（香港）所持创冠环保（中国）100%股权，向佛山市南海城市建设投资有限公司发行股份购买其所持有的佛山市南海燃气发展股份有限公司30%股权，股份支付3.83亿元；同时，拟以不低于7.51元/股的价格向不超过十名特定投资者非公开发行股票，用于支付本次购买创冠中国股权的部分现金对价。</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其他"/>
      <w:bookmarkEnd w:id="63"/>
      <w:r>
        <w:t xml:space="preserve">其他</w:t>
      </w:r>
    </w:p>
    <w:p>
      <w:pPr>
        <w:pStyle w:val="Heading3"/>
      </w:pPr>
      <w:bookmarkStart w:id="64" w:name="人社部公布劳务派遣暂行规定"/>
      <w:bookmarkEnd w:id="64"/>
      <w:r>
        <w:t xml:space="preserve">人社部公布《劳务派遣暂行规定》</w:t>
      </w:r>
    </w:p>
    <w:p>
      <w:r>
        <w:t xml:space="preserve">人社部1月26日在其网站公布《劳务派遣暂行规定》。《暂行规定》主要对适用范围，劳务派遣用工比例，劳动合同的订立、履行、解除和终止，跨地区劳务派遣的社会保险，法律责任以及用工比例调整过渡期等作了具体规定。</w:t>
      </w:r>
    </w:p>
    <w:p>
      <w:r>
        <w:t xml:space="preserve">《暂行规定》明确，用工单位应当严格控制劳务派遣用工数量，使用的被派遣劳动者数量不得超过其用工总量的10%。用工单位拟使用被派遣劳动者的辅助性岗位，应当经职工代表大会或者全体职工讨论，提出方案，与工会或者职工代表平等协商确定，并在用工单位内公示。</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中诚信托争议产品拆弹方案出炉"/>
      <w:bookmarkEnd w:id="67"/>
      <w:r>
        <w:t xml:space="preserve">中诚信托争议产品“拆弹”方案出炉</w:t>
      </w:r>
    </w:p>
    <w:p>
      <w:r>
        <w:t xml:space="preserve">中诚信托1月27日发布临时公告称，依照信托文件规定，中诚信托作为受托人以股权投资附加回购的方式运用信托资金对山西振富能源集团有限公司进行股权投资。目前，中诚信托已与意向投资者达成一致，请信托产品投资者与客户经理联系。投资者将面临两种选择，一是立刻签字拿到本金，但未获得足额预期收益；二是继续持有，收益及本金需视项目未来情况而定。</w:t>
      </w:r>
    </w:p>
    <w:p>
      <w:r>
        <w:t xml:space="preserve">诚至金开１号集合信托计划2011年2月1日正式成立，由中诚信托发行，工商银行代销，涉及约700位投资者，募集总规模30.3亿元，对山西振富能源集团进行股权投资，预期收益率9.5％~11％，信托计划投资门槛300万元。</w:t>
      </w:r>
    </w:p>
    <w:p>
      <w:r>
        <w:t xml:space="preserve">2012年二季度，振富集团因账外民间融资卷入了3笔诉讼案件，公司实际控制人王于锁、王平彦被警方带走，加上公司旗下煤矿采矿权纠纷长期难解、公司现金流出现问题，信托计划由此陷入兑付危机。随着振富集团旗下煤矿所涉及的采矿权纠纷和采矿许可证问题在今年1月22日得到解决，中诚信托与意向投资者的谈判很快达成一致。</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最高法司法部联合出台国家赔偿法律援助意见"/>
      <w:bookmarkEnd w:id="70"/>
      <w:r>
        <w:t xml:space="preserve">最高法、司法部联合出台国家赔偿法律援助意见</w:t>
      </w:r>
    </w:p>
    <w:p>
      <w:r>
        <w:t xml:space="preserve">人民法院报1月27日消息，近日，最高人民法院、司法部联合发布了《关于加强国家赔偿法律援助工作的意见》。</w:t>
      </w:r>
    </w:p>
    <w:p>
      <w:r>
        <w:t xml:space="preserve">《意见》强调，要提升国家赔偿法律援助工作的质量和效果。法律援助机构要完善案件指派工作，合理确定承办机构及人员，有条件的地方推行点援制。承办法官和法律援助人员在办案过程中要注重做好解疑释惑工作，促进赔偿请求人服判息诉。司法行政机关和法律援助机构要完善办案质量监督管理机制，重点加强对重大疑难复杂案件办理的跟踪监督。人民法院发现法律援助人员有违法行为或者损害赔偿请求人利益的，要及时向法律援助机构通报有关情况，督促法律援助人员依法依规办理案件。</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金螳螂实际控制人涉嫌行贿已被批捕"/>
      <w:bookmarkEnd w:id="73"/>
      <w:r>
        <w:t xml:space="preserve">金螳螂实际控制人涉嫌行贿已被批捕</w:t>
      </w:r>
    </w:p>
    <w:p>
      <w:r>
        <w:t xml:space="preserve">1月28日，金螳螂发布公告称，公司于2014年1月27日接家属通知，公司董事、实际控制人朱兴良涉嫌行贿，被检察机关批准执行逮捕。目前公司生产经营活动一切正常。金螳螂称将做好相关事项的持续信息披露工作。</w:t>
      </w:r>
    </w:p>
    <w:p>
      <w:r>
        <w:t xml:space="preserve">公开资料显示，去年7月，朱兴良因个人原因配合检察机关协助调查，人身自由受到限制。检察机关于2013年7月27日起，对朱兴良执行监视居住。金螳螂当时在公告中称，朱兴良虽为公司实际控制人，但其在公司上市前就只担任公司董事职位，平时不参与公司实际经营事务，该事件对公司经营活动影响有限。</w:t>
      </w:r>
    </w:p>
    <w:p>
      <w:r>
        <w:t xml:space="preserve">但随后又有媒体曝出，朱兴良被调查，或与南京市长季建业落马一事有关。有知情人士对媒体透露，朱兴良与季建业私交较好，此次或涉及金螳螂在扬州和南京的多项工程。</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价格违法行为举报奖励办法出台"/>
      <w:bookmarkEnd w:id="76"/>
      <w:r>
        <w:t xml:space="preserve">《价格违法行为举报奖励办法》出台</w:t>
      </w:r>
    </w:p>
    <w:p>
      <w:r>
        <w:t xml:space="preserve">发改委、财政部日前发布关于印发《价格违法行为举报奖励办法》的通知。</w:t>
      </w:r>
    </w:p>
    <w:p>
      <w:r>
        <w:t xml:space="preserve">《通知》明确，价格主管部门对公民、法人和其他组织（以下简称举报人）举报价格违法行为予以奖励的，适用本办法。获得举报奖励应当同时符合以下条件：1、举报人实名举报，并提供有效联系方式；2、有明确的举报对象、具体的违法事实；3、举报事项事先未被价格主管部门掌握；4、举报事项经查证属实并已依法作出行政处罚。</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9">
        <w:r>
          <w:rPr>
            <w:rStyle w:val="Link"/>
          </w:rPr>
          <w:t xml:space="preserve">unsubscribe@charltonslaw.com</w:t>
        </w:r>
      </w:hyperlink>
    </w:p>
    <w:p>
      <w:r>
        <w:rPr>
          <w:b/>
        </w:rPr>
        <w:t xml:space="preserve">易周律师行 - 法讯 - 中国 - 第392期 - 2014年01月30日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c9e74a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55" Target="http://epaper.stcn.com/paper/zqsb/html/2014-01/27/content_541584.htm" TargetMode="External" /><Relationship Type="http://schemas.openxmlformats.org/officeDocument/2006/relationships/hyperlink" Id="rId68" Target="http://epaper.stcn.com/paper/zqsb/html/epaper/index/content_541712.htm" TargetMode="External" /><Relationship Type="http://schemas.openxmlformats.org/officeDocument/2006/relationships/hyperlink" Id="rId58" Target="http://epaper.stcn.com/paper/zqsb/html/epaper/index/content_542076.htm" TargetMode="External" /><Relationship Type="http://schemas.openxmlformats.org/officeDocument/2006/relationships/hyperlink" Id="rId34" Target="http://epaper.stcn.com/paper/zqsb/html/epaper/index/content_542776.htm" TargetMode="External" /><Relationship Type="http://schemas.openxmlformats.org/officeDocument/2006/relationships/hyperlink" Id="rId61" Target="http://epaper.stcn.com/paper/zqsb/html/epaper/index/content_542882.htm" TargetMode="External" /><Relationship Type="http://schemas.openxmlformats.org/officeDocument/2006/relationships/hyperlink" Id="rId74" Target="http://finance.people.com.cn/n/2014/0129/c1004-24264801.html" TargetMode="External" /><Relationship Type="http://schemas.openxmlformats.org/officeDocument/2006/relationships/hyperlink" Id="rId47" Target="http://finance.sina.com.cn/chanjing/gsnews/20140129/132418119859.shtml" TargetMode="External" /><Relationship Type="http://schemas.openxmlformats.org/officeDocument/2006/relationships/hyperlink" Id="rId28" Target="http://jrs.mof.gov.cn/zhengwuxinxi/zhengcefabu/201401/t20140127_1040135.html" TargetMode="External" /><Relationship Type="http://schemas.openxmlformats.org/officeDocument/2006/relationships/hyperlink" Id="rId25" Target="http://kjs.mof.gov.cn/zhengwuxinxi/zhengcefabu/201401/t20140128_1040392.html" TargetMode="External" /><Relationship Type="http://schemas.openxmlformats.org/officeDocument/2006/relationships/hyperlink" Id="rId38" Target="http://news.xinhuanet.com/2014-01/25/c_119127842.htm" TargetMode="External" /><Relationship Type="http://schemas.openxmlformats.org/officeDocument/2006/relationships/hyperlink" Id="rId71" Target="http://rmfyb.chinacourt.org/paper/html/2014-01/27/content_76144.htm?div=-1" TargetMode="External" /><Relationship Type="http://schemas.openxmlformats.org/officeDocument/2006/relationships/hyperlink" Id="rId21" Target="http://www.charltonslaw.com.cn/china-news-alerts-cn-issue-392/" TargetMode="External" /><Relationship Type="http://schemas.openxmlformats.org/officeDocument/2006/relationships/hyperlink" Id="rId41" Target="http://www.chinasafety.gov.cn/newpage/Contents/Channel_6288/2014/0126/229727/content_229727.htm" TargetMode="External" /><Relationship Type="http://schemas.openxmlformats.org/officeDocument/2006/relationships/hyperlink" Id="rId31" Target="http://www.csrc.gov.cn/pub/newsite/bgt/xwdd/201401/t20140128_243393.htm" TargetMode="External" /><Relationship Type="http://schemas.openxmlformats.org/officeDocument/2006/relationships/hyperlink" Id="rId51" Target="http://www.mofcom.gov.cn/article/ae/ai/201401/20140100473847.shtml" TargetMode="External" /><Relationship Type="http://schemas.openxmlformats.org/officeDocument/2006/relationships/hyperlink" Id="rId65" Target="http://www.mohrss.gov.cn/gkml/xxgk/201401/t20140126_123297.htm" TargetMode="External" /><Relationship Type="http://schemas.openxmlformats.org/officeDocument/2006/relationships/hyperlink" Id="rId77" Target="http://www.ndrc.gov.cn/zcfb/zcfbtz/2014tz/t20140129_578172.htm" TargetMode="External" /><Relationship Type="http://schemas.openxmlformats.org/officeDocument/2006/relationships/hyperlink" Id="rId44" Target="http://www.sdpc.gov.cn/xwfb/t20140129_578034.htm" TargetMode="External" /><Relationship Type="http://schemas.openxmlformats.org/officeDocument/2006/relationships/hyperlink" Id="rId79"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55" Target="http://epaper.stcn.com/paper/zqsb/html/2014-01/27/content_541584.htm" TargetMode="External" /><Relationship Type="http://schemas.openxmlformats.org/officeDocument/2006/relationships/hyperlink" Id="rId68" Target="http://epaper.stcn.com/paper/zqsb/html/epaper/index/content_541712.htm" TargetMode="External" /><Relationship Type="http://schemas.openxmlformats.org/officeDocument/2006/relationships/hyperlink" Id="rId58" Target="http://epaper.stcn.com/paper/zqsb/html/epaper/index/content_542076.htm" TargetMode="External" /><Relationship Type="http://schemas.openxmlformats.org/officeDocument/2006/relationships/hyperlink" Id="rId34" Target="http://epaper.stcn.com/paper/zqsb/html/epaper/index/content_542776.htm" TargetMode="External" /><Relationship Type="http://schemas.openxmlformats.org/officeDocument/2006/relationships/hyperlink" Id="rId61" Target="http://epaper.stcn.com/paper/zqsb/html/epaper/index/content_542882.htm" TargetMode="External" /><Relationship Type="http://schemas.openxmlformats.org/officeDocument/2006/relationships/hyperlink" Id="rId74" Target="http://finance.people.com.cn/n/2014/0129/c1004-24264801.html" TargetMode="External" /><Relationship Type="http://schemas.openxmlformats.org/officeDocument/2006/relationships/hyperlink" Id="rId47" Target="http://finance.sina.com.cn/chanjing/gsnews/20140129/132418119859.shtml" TargetMode="External" /><Relationship Type="http://schemas.openxmlformats.org/officeDocument/2006/relationships/hyperlink" Id="rId28" Target="http://jrs.mof.gov.cn/zhengwuxinxi/zhengcefabu/201401/t20140127_1040135.html" TargetMode="External" /><Relationship Type="http://schemas.openxmlformats.org/officeDocument/2006/relationships/hyperlink" Id="rId25" Target="http://kjs.mof.gov.cn/zhengwuxinxi/zhengcefabu/201401/t20140128_1040392.html" TargetMode="External" /><Relationship Type="http://schemas.openxmlformats.org/officeDocument/2006/relationships/hyperlink" Id="rId38" Target="http://news.xinhuanet.com/2014-01/25/c_119127842.htm" TargetMode="External" /><Relationship Type="http://schemas.openxmlformats.org/officeDocument/2006/relationships/hyperlink" Id="rId71" Target="http://rmfyb.chinacourt.org/paper/html/2014-01/27/content_76144.htm?div=-1" TargetMode="External" /><Relationship Type="http://schemas.openxmlformats.org/officeDocument/2006/relationships/hyperlink" Id="rId21" Target="http://www.charltonslaw.com.cn/china-news-alerts-cn-issue-392/" TargetMode="External" /><Relationship Type="http://schemas.openxmlformats.org/officeDocument/2006/relationships/hyperlink" Id="rId41" Target="http://www.chinasafety.gov.cn/newpage/Contents/Channel_6288/2014/0126/229727/content_229727.htm" TargetMode="External" /><Relationship Type="http://schemas.openxmlformats.org/officeDocument/2006/relationships/hyperlink" Id="rId31" Target="http://www.csrc.gov.cn/pub/newsite/bgt/xwdd/201401/t20140128_243393.htm" TargetMode="External" /><Relationship Type="http://schemas.openxmlformats.org/officeDocument/2006/relationships/hyperlink" Id="rId51" Target="http://www.mofcom.gov.cn/article/ae/ai/201401/20140100473847.shtml" TargetMode="External" /><Relationship Type="http://schemas.openxmlformats.org/officeDocument/2006/relationships/hyperlink" Id="rId65" Target="http://www.mohrss.gov.cn/gkml/xxgk/201401/t20140126_123297.htm" TargetMode="External" /><Relationship Type="http://schemas.openxmlformats.org/officeDocument/2006/relationships/hyperlink" Id="rId77" Target="http://www.ndrc.gov.cn/zcfb/zcfbtz/2014tz/t20140129_578172.htm" TargetMode="External" /><Relationship Type="http://schemas.openxmlformats.org/officeDocument/2006/relationships/hyperlink" Id="rId44" Target="http://www.sdpc.gov.cn/xwfb/t20140129_578034.htm" TargetMode="External" /><Relationship Type="http://schemas.openxmlformats.org/officeDocument/2006/relationships/hyperlink" Id="rId79"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第392期 - 2014年01月30日</dc:title>
  <dc:creator/>
</cp:coreProperties>
</file>