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第393期</w:t>
      </w:r>
      <w:r>
        <w:t xml:space="preserve"> </w:t>
      </w:r>
      <w:r>
        <w:t xml:space="preserve">-</w:t>
      </w:r>
      <w:r>
        <w:t xml:space="preserve"> </w:t>
      </w:r>
      <w:r>
        <w:t xml:space="preserve">2014年02月14日</w:t>
      </w:r>
    </w:p>
    <w:p>
      <w:hyperlink r:id="rId21">
        <w:r>
          <w:rPr>
            <w:rStyle w:val="Link"/>
          </w:rPr>
          <w:t xml:space="preserve">网络版</w:t>
        </w:r>
      </w:hyperlink>
    </w:p>
    <w:p>
      <w:pPr>
        <w:pStyle w:val="Heading1"/>
      </w:pPr>
      <w:bookmarkStart w:id="22" w:name="法讯中国第393期"/>
      <w:bookmarkEnd w:id="22"/>
      <w:r>
        <w:t xml:space="preserve">法讯中国第393期</w:t>
      </w:r>
    </w:p>
    <w:p>
      <w:pPr>
        <w:pStyle w:val="Heading2"/>
      </w:pPr>
      <w:bookmarkStart w:id="23" w:name="资本市场"/>
      <w:bookmarkEnd w:id="23"/>
      <w:r>
        <w:t xml:space="preserve">资本市场</w:t>
      </w:r>
    </w:p>
    <w:p>
      <w:pPr>
        <w:pStyle w:val="Heading3"/>
      </w:pPr>
      <w:bookmarkStart w:id="24" w:name="央行针对金融深化创新完善调控模式"/>
      <w:bookmarkEnd w:id="24"/>
      <w:r>
        <w:t xml:space="preserve">央行：针对金融深化创新完善调控模式</w:t>
      </w:r>
    </w:p>
    <w:p>
      <w:r>
        <w:t xml:space="preserve">央行在日前公布的《2013年第四季度中国货币政策执行报告》中提出，下一阶段要综合运用数量、价格等多种货币政策工具组合，健全宏观审慎政策框架，保持适度流动性，实现货币信贷和社会融资规模合理增长。在市场深化和金融创新快速发展的背景下，流动性闸门的调控和引导作用更加重要。</w:t>
      </w:r>
    </w:p>
    <w:p>
      <w:r>
        <w:t xml:space="preserve">央行表示，继续实施稳健的货币政策，增强调控的前瞻性、针对性、协同性。同时，进一步优化金融资源配置，改善和优化融资结构和信贷结构。要把货币政策调控与深化改革紧密结合起来，重视从提高资源的配置效率、扩大消费者主权的角度继续深化改革，更充分地发挥市场在资源配置中的决定性作用，针对金融深化和创新发展，进一步完善调控模式，疏通传导机制，提高金融运行效率和服务实体经济的能力。</w:t>
      </w:r>
    </w:p>
    <w:p>
      <w:r>
        <w:t xml:space="preserve">央行指出，要继续根据国际收支和流动性供需形势，合理运用公开市场操作、存款准备金率、再贷款、再贴现、常备借贷便利、短期流动性调节等工具组合，管理和调节好银行体系流动性，加强与市场和公众沟通，稳定预期，促进市场利率平稳运行。</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启动金融类企业国有产权登记"/>
      <w:bookmarkEnd w:id="27"/>
      <w:r>
        <w:t xml:space="preserve">财政部启动金融类企业国有产权登记</w:t>
      </w:r>
    </w:p>
    <w:p>
      <w:r>
        <w:t xml:space="preserve">中国政府网2月8日消息，财政部日前发布《关于做好2013年度金融类企业产权登记监督检查工作有关事项的通知》。</w:t>
      </w:r>
    </w:p>
    <w:p>
      <w:r>
        <w:t xml:space="preserve">《通知》要求，中央管理金融企业应对集团（或控股公司）本级和所属各级子公司2013年度发生的产权变动及其办理情况等进行清查，并于2014年5月31日前将产权登记监督检查材料以及产权登记电子数据报送财政部金融司。</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企业会计准则通用分类标准实施继续扩围"/>
      <w:bookmarkEnd w:id="30"/>
      <w:r>
        <w:t xml:space="preserve">企业会计准则通用分类标准实施继续扩围</w:t>
      </w:r>
    </w:p>
    <w:p>
      <w:r>
        <w:t xml:space="preserve">财政部网站2月10日消息，1月22日，财政部等五部门发布《关于做好2014年企业会计准则通用分类标准实施工作的通知》。</w:t>
      </w:r>
    </w:p>
    <w:p>
      <w:r>
        <w:t xml:space="preserve">根据《通知》，实施通用分类标准的大型企业共11家，实施通用分类标准、石油和天然气行业扩展分类标准的大型企业共3家。实施通用分类标准、银行业扩展分类标准的银行业金融机构共18家。实施通用分类标准的保险公司共5家。</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券业协会进一步规范证券公司资产管理业务有关事项"/>
      <w:bookmarkEnd w:id="33"/>
      <w:r>
        <w:t xml:space="preserve">证券业协会进一步规范证券公司资产管理业务有关事项</w:t>
      </w:r>
    </w:p>
    <w:p>
      <w:r>
        <w:t xml:space="preserve">2月12日，中国证券业协会发布《关于进一步规范证券公司资产管理业务有关事项的补充通知》（以下简称《通知》）。《通知》自2月17日起实施。</w:t>
      </w:r>
    </w:p>
    <w:p>
      <w:r>
        <w:t xml:space="preserve">《通知》要求，与证券公司合作开展定向资产管理业务的银行须是中华人民共和国境内依法设立的商业银行、农村合作银行、城市信用合作社、农村信用合作社、邮政储蓄银行等吸收公众存款的金融机构以及政策性银行。此外，证券公司与合作银行签订银证合作定向合同的，合作银行最近一年年末资产规模不低于500亿元。</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资企业再闯美国ipo市场"/>
      <w:bookmarkEnd w:id="36"/>
      <w:r>
        <w:t xml:space="preserve">中资企业再闯美国IPO市场</w:t>
      </w:r>
    </w:p>
    <w:p>
      <w:r>
        <w:t xml:space="preserve">新华社2月12日消息，根据接受路透访问的投资银行人士介绍，今年能够在美国上市的中资企业数量可能达到约30家，达到2010年以来最高。</w:t>
      </w:r>
    </w:p>
    <w:p>
      <w:r>
        <w:t xml:space="preserve">投资者对中国概念股再度燃起热情，特别是对互联网类股票，吸引中资企业回归美国市常根据互联网研究机构艾瑞咨询集团数据，以交易量来计算，中国在线零售市场去年跳涨了42%至3050亿美元，预计到2016年还将增长近一倍。</w:t>
      </w:r>
    </w:p>
    <w:p>
      <w:r>
        <w:t xml:space="preserve">对中资企业而言，美国市场可提供香港市场所没有的选项，比如双重股权结构，或是即使没有出现获利，企业也能够在美国挂牌。而且比起中国内地近期刚恢复的IPO市场，美国可提供的流动性更加充沛。</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央行发布关于商业银行理财产品进入银行间债券市场有关事项"/>
      <w:bookmarkEnd w:id="39"/>
      <w:r>
        <w:t xml:space="preserve">央行发布关于商业银行理财产品进入银行间债券市场有关事项</w:t>
      </w:r>
    </w:p>
    <w:p>
      <w:r>
        <w:t xml:space="preserve">中国人民银行金融市场司2月13日晚间发布《关于商业银行理财产品进入银行间债券市场有关事项的通知》。</w:t>
      </w:r>
    </w:p>
    <w:p>
      <w:r>
        <w:t xml:space="preserve">《通知》明确，申请在银行间债券市场开户的理财产品，其管理人和托管人应在人民银行上海总部备案，并凭备案通知书在同业拆借中心申请办理债券联网结算手续，由其托管人和管理人向中央结算公司和上海清算所申请开立债券账户。</w:t>
      </w:r>
    </w:p>
    <w:p>
      <w:r>
        <w:t xml:space="preserve">申请在银行间债券市场开立理财产品债券账户的管理人，应当符合多项条件，主要包括：一是具有专门的理财投资管理部门，且与自营投资管理业务在资产、人员、系统、制度等方面完全分离；二是与理财投资管理业务相对应的交易前台、风险控制、清算结算后台完全分离；三是按照成本可算、风险可控、信息充分披露的原则开展理财投资管理业务，实现每只理财产品与所投资资产的对应，实现单独管理、建账和核算。</w:t>
      </w:r>
    </w:p>
    <w:p>
      <w:r>
        <w:t xml:space="preserve">《通知》要求，管理人的自营债券账户与理财产品债券账户之间，以及同一管理人管理的不同债券账户之间不得进行交易。</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r>
        <w:t xml:space="preserve"> </w:t>
      </w:r>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农业部坚定不移推进转基因重大专项研究"/>
      <w:bookmarkEnd w:id="45"/>
      <w:r>
        <w:t xml:space="preserve">农业部坚定不移推进转基因重大专项研究</w:t>
      </w:r>
    </w:p>
    <w:p>
      <w:r>
        <w:t xml:space="preserve">农业部2月7日发布的《2014年农业科技教育与环保能源工作要点》体现了其对转基因作物研究的立场：既力挺又防范。</w:t>
      </w:r>
    </w:p>
    <w:p>
      <w:r>
        <w:t xml:space="preserve">农业部发文称，2014年要继续坚定不移地推进转基因重大专项深入实施，引导骨干种子企业参与实施转基因生物新品种培育重大专项。此外，农业部明确强调要强化转基因生物安全属地管理制度和研发者“第一责任人”责任，严格进行转基因安全执法监管。</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四部门联合推进新能源汽车推广应用工作"/>
      <w:bookmarkEnd w:id="48"/>
      <w:r>
        <w:t xml:space="preserve">四部门联合推进新能源汽车推广应用工作</w:t>
      </w:r>
    </w:p>
    <w:p>
      <w:r>
        <w:t xml:space="preserve">工信部网站2月8日消息，1月28日，财政部等四部门发布《关于进一步做好新能源汽车推广应用工作的通知》，将纯电动乘用车、插电式混合动力（含增程式）乘用车、纯电动专用车、燃料电池汽车的补贴标准进行了调整。</w:t>
      </w:r>
    </w:p>
    <w:p>
      <w:r>
        <w:t xml:space="preserve">新的补贴标准为：2014年在2013年标准基础上下降5%，2015年在2013年标准基础上下降10%。从2014年1月1日起开始执行，执行到2015年12月31日。</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务院印发中国食物与营养发展纲要20142020年"/>
      <w:bookmarkEnd w:id="51"/>
      <w:r>
        <w:t xml:space="preserve">国务院印发中国食物与营养发展纲要（2014—2020年）</w:t>
      </w:r>
    </w:p>
    <w:p>
      <w:r>
        <w:t xml:space="preserve">中国政府网2月10日消息，国务院1月28日印发《中国食物与营养发展纲要（2014—2020年）》。</w:t>
      </w:r>
    </w:p>
    <w:p>
      <w:r>
        <w:t xml:space="preserve">《纲要》提出的发展目标为，到2020年，全国粮食产量稳定在5.5亿吨以上，油料、肉类、蛋类、奶类、水产品等生产稳定发展；传统食品加工程度大幅提高，食品加工技术水平明显提升，全国食品工业增加值年均增长速度保持在10%以上；全国人均全年口粮消费135公斤；全国人均每日摄入能量2200—2300千卡；全国5岁以下儿童生长迟缓率控制在7%以下；全人群贫血率控制在10%以下等。</w:t>
      </w:r>
    </w:p>
    <w:p>
      <w:r>
        <w:t xml:space="preserve">《纲要》还提出，发展的重点产品包括优质食用农产品、方便营养加工食品、奶类与大豆食品。</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创新医疗器械特别审批程序试行发布"/>
      <w:bookmarkEnd w:id="54"/>
      <w:r>
        <w:t xml:space="preserve">《创新医疗器械特别审批程序（试行）》发布</w:t>
      </w:r>
    </w:p>
    <w:p>
      <w:r>
        <w:t xml:space="preserve">中国政府网2月10日消息，国家食品药品监督管理总局日前发布《创新医疗器械特别审批程序（试行）》，自2014年3月1日起施行。</w:t>
      </w:r>
    </w:p>
    <w:p>
      <w:r>
        <w:t xml:space="preserve">境内、境外的申请人均可按照程序要求，提交相应的技术资料及证明性文件，提出创新医疗器械特别审批申请；经技术部门组织审查后认为符合相应条件的，可按照该程序实施审评审批。</w:t>
      </w:r>
    </w:p>
    <w:p>
      <w:r>
        <w:t xml:space="preserve">对于受理注册申报的创新医疗器械，食品药品监管总局将优先进行审评、审批。对于境内企业申请，如产品被界定为第二类或第一类医疗器械，相应的省级或者设区市级食品药品监督管理部门可参照本程序进行后续工作和审评审批。</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工商总局发布网络交易管理办法"/>
      <w:bookmarkEnd w:id="57"/>
      <w:r>
        <w:t xml:space="preserve">工商总局发布《网络交易管理办法》</w:t>
      </w:r>
    </w:p>
    <w:p>
      <w:r>
        <w:t xml:space="preserve">工商总局网站2月13日发布消息称，1月26日，国家工商行政管理总局公布《网络交易管理办法》（以下简称《办法》）。《办法》自2014年3月15日起施行。</w:t>
      </w:r>
    </w:p>
    <w:p>
      <w:r>
        <w:t xml:space="preserve">《办法》要求，从事网络商品交易的自然人，应当通过第三方交易平台开展经营活动，并向第三方交易平台提交其姓名、地址、有效身份证明、有效联系方式等真实身份信息。《办法》明确，网络商品经营者销售商品，消费者有权自收到商品之日起七日内退货，且无需说明理由，但下列商品除外：消费者定作的；鲜活易腐的；在线下载或者消费者拆封的音像制品、计算机软件等数字化商品；交付的报纸、期刊。</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北京新能源汽车细则发布"/>
      <w:bookmarkEnd w:id="60"/>
      <w:r>
        <w:t xml:space="preserve">北京新能源汽车细则发布</w:t>
      </w:r>
    </w:p>
    <w:p>
      <w:r>
        <w:t xml:space="preserve">2月13日，《北京市示范应用新能源小客车生产企业及产品审核备案管理细则》发布，北京市经信委将对参与示范应用的新能源汽车企业和产品实施目录管理。</w:t>
      </w:r>
    </w:p>
    <w:p>
      <w:r>
        <w:t xml:space="preserve">《细则》规定，参与北京市示范应用新能源小客车的生产企业须具备独立法人资格，列入国家工信部《车辆生产企业及产品公告》，并满足国家关于新能源汽车推广应用补贴车型和企业的相关要求；具备单班年产1万辆以上的新能源小客车生产线及产品独立研发、试验验证、生产一致性保障等能力；具备完善的销售和售后服务体系，在京设有5家（含）以上授权合格的新能源小客车维修服务中心，具备一定数量的充电设施，承诺提供24小时不间断救援服务，对车辆提供不低于3年或6万公里（以先到者为准）的质保，对动力电池等关键零部件提供不低于5年或10万公里（以先到者为准）的质保等。</w:t>
      </w:r>
    </w:p>
    <w:p>
      <w:r>
        <w:t xml:space="preserve">《细则》还规定，示范应用新能源小客车产品须为参与示范应用的新能源小客车生产企业生产的产品，取得强制性产品认证证书；纳入到国家《节能与新能源汽车示范推广应用工程推荐车型目录》，满足国家关于新能源汽车推广应用补贴车型的相关要求；符合一系列国家及本市现行有关标准和规定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r>
        <w:t xml:space="preserve"> </w:t>
      </w:r>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外商投资"/>
      <w:bookmarkEnd w:id="65"/>
      <w:r>
        <w:t xml:space="preserve">外商投资</w:t>
      </w:r>
    </w:p>
    <w:p>
      <w:pPr>
        <w:pStyle w:val="Heading3"/>
      </w:pPr>
      <w:bookmarkStart w:id="66" w:name="上海自贸区试行扩大国际船舶运输管理业务外商投资比例"/>
      <w:bookmarkEnd w:id="66"/>
      <w:r>
        <w:t xml:space="preserve">上海自贸区试行扩大国际船舶运输管理业务外商投资比例</w:t>
      </w:r>
    </w:p>
    <w:p>
      <w:r>
        <w:t xml:space="preserve">交通运输部网站2月8日消息，1月27日，交通运输部发布《交通运输部关于中国（上海）自由贸易试验区试行扩大国际船舶运输和国际船舶管理业务外商投资比例实施办法的公告》，自发布之日起施行。</w:t>
      </w:r>
    </w:p>
    <w:p>
      <w:r>
        <w:t xml:space="preserve">根据《公告》，经国务院交通运输主管部门批准，在自贸区设立的外商投资比例超过49%的中外合资、合作企业，及其拥有或实际经营的船舶，可经营进出中国港口的国际船舶运输业务。经上海市交通运输主管部门批准，在自贸区设立的外商独资企业可以经营国际船舶管理业务。</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新外商投资道路运输业管理规定出台"/>
      <w:bookmarkEnd w:id="69"/>
      <w:r>
        <w:t xml:space="preserve">新《外商投资道路运输业管理规定》出台</w:t>
      </w:r>
    </w:p>
    <w:p>
      <w:r>
        <w:t xml:space="preserve">交通运输部网站2月11日消息，交通运输部、商务部1月11日对《外商投资道路运输业管理规定》（交通部、对外经济贸易合作部令2001年第9号）作出修改并重新发布。 新《外商投资道路运输业管理规定》自2014年1月11日起施行。</w:t>
      </w:r>
    </w:p>
    <w:p>
      <w:r>
        <w:t xml:space="preserve">新《规定》的第十一条修改为“省级商务主管部门收到申请材料后，在45日内作出是否批准的书面决定。符合规定的，颁发或者变更外商投资企业批准证书；不符合规定的，退回申请，书面通知申请人并说明理由。” 第十九条后则增加一条作为第二十条：“省级交通运输主管部门应当于每年3月31日前将本省上年度外商投资审批情况报交通运输部。”</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r>
        <w:t xml:space="preserve"> </w:t>
      </w:r>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税收"/>
      <w:bookmarkEnd w:id="74"/>
      <w:r>
        <w:t xml:space="preserve">税收</w:t>
      </w:r>
    </w:p>
    <w:p>
      <w:pPr>
        <w:pStyle w:val="Heading3"/>
      </w:pPr>
      <w:bookmarkStart w:id="75" w:name="两部门规范船舶进口有关税收政策"/>
      <w:bookmarkEnd w:id="75"/>
      <w:r>
        <w:t xml:space="preserve">两部门规范船舶进口有关税收政策</w:t>
      </w:r>
    </w:p>
    <w:p>
      <w:r>
        <w:t xml:space="preserve">财政部网站2月11日消息，1月28日，财政部、国税总局发布《关于规范船舶进口有关税收政策问题的通知》。</w:t>
      </w:r>
    </w:p>
    <w:p>
      <w:r>
        <w:t xml:space="preserve">《通知》规定：保税港区等海关特殊监管区域的进口保税政策不适用于并不能实际入区的进境船舶，该类船舶应按进口货物的有关规定办理报关手续，统一执行现行船舶进口的税收政策，照章缴纳进口关税和进口环节增值税。</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海关总署明确内销保税货物审价问题"/>
      <w:bookmarkEnd w:id="78"/>
      <w:r>
        <w:t xml:space="preserve">海关总署明确内销保税货物审价问题</w:t>
      </w:r>
    </w:p>
    <w:p>
      <w:r>
        <w:t xml:space="preserve">2月7日，海关总署发布《关于内销保税货物审价问题的公告》，自印发之日起施行。</w:t>
      </w:r>
    </w:p>
    <w:p>
      <w:r>
        <w:t xml:space="preserve">《公告》规定：海关在审查确定内销保税货物完税价格时，其质疑、磋商和告知的程序，参照《中华人民共和国海关审定进出口货物完税价格办法》的有关规定。</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2"/>
      </w:pPr>
      <w:bookmarkStart w:id="81" w:name="保险"/>
      <w:bookmarkEnd w:id="81"/>
      <w:r>
        <w:t xml:space="preserve">保险</w:t>
      </w:r>
    </w:p>
    <w:p>
      <w:pPr>
        <w:pStyle w:val="Heading3"/>
      </w:pPr>
      <w:bookmarkStart w:id="82" w:name="保监会修改保险公司董事监事和高级管理人员任职资格管理规定"/>
      <w:bookmarkEnd w:id="82"/>
      <w:r>
        <w:t xml:space="preserve">保监会修改《保险公司董事、监事和高级管理人员任职资格管理规定》</w:t>
      </w:r>
    </w:p>
    <w:p>
      <w:r>
        <w:t xml:space="preserve">保监会网站2月11日消息，1月23日，保监会发布《关于修改〈保险公司董事、监事和高级管理人员任职资格管理规定〉的决定》（以下简称《决定》）。《决定》自发布之日起施行。</w:t>
      </w:r>
    </w:p>
    <w:p>
      <w:r>
        <w:t xml:space="preserve">根据《决定》，中国保监会的派出机构根据授权负责辖区内保险公司分支机构高级管理人员任职资格的监督管理，但中资再保险公司分公司和境外保险公司分公司除外。</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2"/>
      </w:pPr>
      <w:bookmarkStart w:id="85" w:name="并购"/>
      <w:bookmarkEnd w:id="85"/>
      <w:r>
        <w:t xml:space="preserve">并购</w:t>
      </w:r>
    </w:p>
    <w:p>
      <w:pPr>
        <w:pStyle w:val="Heading3"/>
      </w:pPr>
      <w:bookmarkStart w:id="86" w:name="双龙股份10.8亿收购金宝药业"/>
      <w:bookmarkEnd w:id="86"/>
      <w:r>
        <w:t xml:space="preserve">双龙股份10.8亿收购金宝药业</w:t>
      </w:r>
    </w:p>
    <w:p>
      <w:r>
        <w:t xml:space="preserve">双龙股份2月7日披露，将以10.8亿元的价格收购吉林金宝药业股份有限公司100%的股份。</w:t>
      </w:r>
    </w:p>
    <w:p>
      <w:r>
        <w:t xml:space="preserve">根据预案，双龙股份将以发行股份及支付现金方式购买金宝药业99.993%的股份。同时，双龙股份全资子公司万载双龙以支付现金方式购买金宝药业其余0.007%的股份。交易完成后，双龙股份将直接及通过万载双龙间接持有金宝药业合计100%股份。</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湘鄂情3.5亿全资控股合肥天焱"/>
      <w:bookmarkEnd w:id="89"/>
      <w:r>
        <w:t xml:space="preserve">湘鄂情3.5亿全资控股合肥天焱</w:t>
      </w:r>
    </w:p>
    <w:p>
      <w:r>
        <w:t xml:space="preserve">湘鄂情2月11日公告，将收购合肥天焱生物质能科技有限公司（下称“合肥天焱”）剩余49%股权，全资控股该公司。此次股权转让价格预计为3.53亿元，但目前无须支付股权转让款。</w:t>
      </w:r>
    </w:p>
    <w:p>
      <w:r>
        <w:t xml:space="preserve">湘鄂情表示，此次收购完成后公司将持有合肥天焱100%股权，且目前无须向交易对方支付股权转让款。该安排在短期内不会增加公司资本支出，但在今后若干年运营中，若合肥天焱业绩达成协议约定的指标，公司才支付交易对价。</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银星能源12.8亿收购控股股东风电资产"/>
      <w:bookmarkEnd w:id="92"/>
      <w:r>
        <w:t xml:space="preserve">银星能源12.8亿收购控股股东风电资产</w:t>
      </w:r>
    </w:p>
    <w:p>
      <w:r>
        <w:t xml:space="preserve">银星能源2月12日公告资产重组预案。银星能源将以非公开发行股份的方式，收购控股股东中铝宁夏能源所持有的风电类相关资产和负债，从而解决风电业务同业竞争的问题。</w:t>
      </w:r>
    </w:p>
    <w:p>
      <w:r>
        <w:t xml:space="preserve">根据公告，银星能源此次收购资产包括：银星风电100%股权、宁电风光100%股权、神州风电50%股权；阿左旗分公司、太阳山风电厂、贺兰山风电厂等三家分公司的风力发电经营性资产及相关负债；风电设备制造基地的整体资产。6项风电厂资产的交易价格为12.81亿元，银星能源拟以6.59 元/股的发行价，向中铝宁夏能源非公开发行股份1.94亿股完成收购。</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3"/>
      </w:pPr>
      <w:bookmarkStart w:id="95" w:name="阿里巴巴拟全面收购高德控股"/>
      <w:bookmarkEnd w:id="95"/>
      <w:r>
        <w:t xml:space="preserve">阿里巴巴拟全面收购高德控股</w:t>
      </w:r>
    </w:p>
    <w:p>
      <w:r>
        <w:t xml:space="preserve">阿里巴巴集团2月10日晚披露，已向高德控股有限公司提出收购建议书。阿里巴巴拟以每股美国存托股票21美元的价格，现金收购高德公司股票。阿里巴巴目前持有高德公司28%股份，交易完成后，高德将成为阿里巴巴全资子公司。此次交易将涉及总现金约11亿美元。</w:t>
      </w:r>
    </w:p>
    <w:p>
      <w:r>
        <w:t xml:space="preserve">高德公司表示，公司董事会已收到该建议书，并计划成立一个特别独立委员会，对该提议进行评估。</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Heading3"/>
      </w:pPr>
      <w:bookmarkStart w:id="98" w:name="云南城投布局养老产业收购民生喜神28股权"/>
      <w:bookmarkEnd w:id="98"/>
      <w:r>
        <w:t xml:space="preserve">云南城投布局养老产业收购民生喜神28%股权</w:t>
      </w:r>
    </w:p>
    <w:p>
      <w:r>
        <w:t xml:space="preserve">云南城投2月14日披露，公司下属企业云南安盛创享旅游产业投资合伙企业收购北京春光伟业控股有限公司持有的成都民生喜神投资有限公司28%的股权，且一并受让北京春光对民生喜神享有的债权，受让价款为4728.17万元。</w:t>
      </w:r>
    </w:p>
    <w:p>
      <w:r>
        <w:t xml:space="preserve">民生喜神主营业务为项目投资与管理、房地产开发经营等。公司运作的项目位于成都旅游度假胜地的青城山。项目净用地615亩，总建筑面积约37万平方米，总投资约19.5亿元。项目地块已经完成规证前置报批报建、规划设计工作，规划设计符合规划审核意见书要求，可以进行工程规划许可证获取工作。</w:t>
      </w:r>
    </w:p>
    <w:p>
      <w:hyperlink r:id="rId99">
        <w:r>
          <w:rPr>
            <w:rStyle w:val="Link"/>
          </w:rPr>
          <w:t xml:space="preserve">来源</w:t>
        </w:r>
      </w:hyperlink>
      <w:r>
        <w:t xml:space="preserve"> </w:t>
      </w:r>
      <w:r>
        <w:t xml:space="preserve">(</w:t>
      </w:r>
      <w:hyperlink r:id="rId100">
        <w:r>
          <w:rPr>
            <w:rStyle w:val="Link"/>
          </w:rPr>
          <w:t xml:space="preserve">副本</w:t>
        </w:r>
      </w:hyperlink>
      <w:r>
        <w:t xml:space="preserve">)</w:t>
      </w:r>
    </w:p>
    <w:p>
      <w:pPr>
        <w:pStyle w:val="Heading2"/>
      </w:pPr>
      <w:bookmarkStart w:id="101" w:name="其他"/>
      <w:bookmarkEnd w:id="101"/>
      <w:r>
        <w:t xml:space="preserve">其他</w:t>
      </w:r>
    </w:p>
    <w:p>
      <w:pPr>
        <w:pStyle w:val="Heading3"/>
      </w:pPr>
      <w:bookmarkStart w:id="102" w:name="城乡居民大病保险试点将全面推开"/>
      <w:bookmarkEnd w:id="102"/>
      <w:r>
        <w:t xml:space="preserve">城乡居民大病保险试点将全面推开</w:t>
      </w:r>
    </w:p>
    <w:p>
      <w:r>
        <w:t xml:space="preserve">国家卫计委网站2月8日消息，国家卫计委1月28日发布《国务院医改办关于加快推进城乡居民大病保险工作的通知》。《通知》指出，尚未开展城乡居民大病保险试点的省份，要在2014年6月底前启动试点工作。</w:t>
      </w:r>
    </w:p>
    <w:p>
      <w:r>
        <w:t xml:space="preserve">《通知》要求各地控制不合理医疗行为和费用。加强对商业保险机构的监管，防止信息外泄和滥用，对违法违约行为及时处理。鼓励商业保险机构利用全国网络优势，为参保人员提供“一站式”即时结算、异地结算等服务。建立大病保险信息通报制度，大病保险筹资标准、待遇水平、年度收支情况等要向社会公开，接受社会监督。</w:t>
      </w:r>
    </w:p>
    <w:p>
      <w:hyperlink r:id="rId103">
        <w:r>
          <w:rPr>
            <w:rStyle w:val="Link"/>
          </w:rPr>
          <w:t xml:space="preserve">来源</w:t>
        </w:r>
      </w:hyperlink>
      <w:r>
        <w:t xml:space="preserve"> </w:t>
      </w:r>
      <w:r>
        <w:t xml:space="preserve">(</w:t>
      </w:r>
      <w:hyperlink r:id="rId104">
        <w:r>
          <w:rPr>
            <w:rStyle w:val="Link"/>
          </w:rPr>
          <w:t xml:space="preserve">副本</w:t>
        </w:r>
      </w:hyperlink>
      <w:r>
        <w:t xml:space="preserve">)</w:t>
      </w:r>
    </w:p>
    <w:p>
      <w:pPr>
        <w:pStyle w:val="Heading3"/>
      </w:pPr>
      <w:bookmarkStart w:id="105" w:name="住房和城乡建设部印发乡村建设规划许可实施意见"/>
      <w:bookmarkEnd w:id="105"/>
      <w:r>
        <w:t xml:space="preserve">住房和城乡建设部印发《乡村建设规划许可实施意见》</w:t>
      </w:r>
    </w:p>
    <w:p>
      <w:r>
        <w:t xml:space="preserve">住房和城乡建设部网站2月12日发布消息称，1月21日，住房和城乡建设部印发《乡村建设规划许可实施意见》（以下简称《意见》）。</w:t>
      </w:r>
    </w:p>
    <w:p>
      <w:r>
        <w:t xml:space="preserve">《意见》指出，申请人确需占用农用地进行农村村民住宅、乡镇企业、乡村公共设施和公益事业建设的，应在依照《中华人民共和国土地管理法》有关规定办理农用地转批手续后，再按《意见》要求，申请办理乡村建设规划许可证。此外，《意见》明确，乡村建设规划许可证的核发应当依据经依法批准的城乡规划。</w:t>
      </w:r>
    </w:p>
    <w:p>
      <w:hyperlink r:id="rId106">
        <w:r>
          <w:rPr>
            <w:rStyle w:val="Link"/>
          </w:rPr>
          <w:t xml:space="preserve">来源</w:t>
        </w:r>
      </w:hyperlink>
      <w:r>
        <w:t xml:space="preserve"> </w:t>
      </w:r>
      <w:r>
        <w:t xml:space="preserve">(</w:t>
      </w:r>
      <w:hyperlink r:id="rId107">
        <w:r>
          <w:rPr>
            <w:rStyle w:val="Link"/>
          </w:rPr>
          <w:t xml:space="preserve">副本</w:t>
        </w:r>
      </w:hyperlink>
      <w:r>
        <w:t xml:space="preserve">)</w:t>
      </w:r>
    </w:p>
    <w:p>
      <w:pPr>
        <w:pStyle w:val="Heading3"/>
      </w:pPr>
      <w:bookmarkStart w:id="108" w:name="年继续免收出口商品检验检疫费"/>
      <w:bookmarkEnd w:id="108"/>
      <w:r>
        <w:t xml:space="preserve">2014年继续免收出口商品检验检疫费</w:t>
      </w:r>
    </w:p>
    <w:p>
      <w:r>
        <w:t xml:space="preserve">财政部网站2月12日消息，1月27日，财政部、发改委联合发布《关于2014年继续免收出口商品检验检疫费的通知》。</w:t>
      </w:r>
    </w:p>
    <w:p>
      <w:r>
        <w:t xml:space="preserve">《通知》明确，自2014年1月1日起至2014年12月31日，对所有出境货物、运输工具、集装箱及其他法定检验检疫物免收出入境检验检疫费（不包括对出境人员预防接种和体检收取的费用，以及企事业单位承担与出境检验检疫有关的商业性自愿委托检测和鉴定、出境检疫处理、动物免疫接种工作收取的费用）。</w:t>
      </w:r>
    </w:p>
    <w:p>
      <w:hyperlink r:id="rId109">
        <w:r>
          <w:rPr>
            <w:rStyle w:val="Link"/>
          </w:rPr>
          <w:t xml:space="preserve">来源</w:t>
        </w:r>
      </w:hyperlink>
      <w:r>
        <w:t xml:space="preserve"> </w:t>
      </w:r>
      <w:r>
        <w:t xml:space="preserve">(</w:t>
      </w:r>
      <w:hyperlink r:id="rId110">
        <w:r>
          <w:rPr>
            <w:rStyle w:val="Link"/>
          </w:rPr>
          <w:t xml:space="preserve">副本</w:t>
        </w:r>
      </w:hyperlink>
      <w:r>
        <w:t xml:space="preserve">)</w:t>
      </w:r>
    </w:p>
    <w:p>
      <w:pPr>
        <w:pStyle w:val="Heading3"/>
      </w:pPr>
      <w:bookmarkStart w:id="111" w:name="墨西哥官员称正在与中国磋商成立基础设施基金"/>
      <w:bookmarkEnd w:id="111"/>
      <w:r>
        <w:t xml:space="preserve">墨西哥官员称正在与中国磋商成立基础设施基金</w:t>
      </w:r>
    </w:p>
    <w:p>
      <w:r>
        <w:t xml:space="preserve">据路透消息，2月11日墨西哥副财长Fernando Aportela 在纽约访问期间表示，墨西哥与中国正讨论在墨西哥共同出资设立投资基础设施项目的基金。</w:t>
      </w:r>
    </w:p>
    <w:p>
      <w:r>
        <w:t xml:space="preserve">墨西哥总统恩里克•培尼亚•涅托早在2013年就宣布，在2013-2018年期间，墨西哥政府预计在基础设施项目上的公共和民间投入将超过3,000亿美元，其中三分之一将用于电信和交通建设。</w:t>
      </w:r>
    </w:p>
    <w:p>
      <w:r>
        <w:t xml:space="preserve">墨西哥《至上报》(Excelsior)本周二报道称，墨西哥和中国正在就设立规模为25亿美元的基础设施基金进行谈判。除国有能源和水利企业进行的投资之外，墨西哥政府对基础设施的推动还包括将两枚新卫星送上预定轨道，招标两个新的国家电视网络以及建设15条高速公路。</w:t>
      </w:r>
    </w:p>
    <w:p>
      <w:hyperlink r:id="rId112">
        <w:r>
          <w:rPr>
            <w:rStyle w:val="Link"/>
          </w:rPr>
          <w:t xml:space="preserve">来源</w:t>
        </w:r>
      </w:hyperlink>
      <w:r>
        <w:t xml:space="preserve"> </w:t>
      </w:r>
      <w:r>
        <w:t xml:space="preserve">(</w:t>
      </w:r>
      <w:hyperlink r:id="rId11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14">
        <w:r>
          <w:rPr>
            <w:rStyle w:val="Link"/>
          </w:rPr>
          <w:t xml:space="preserve">unsubscribe@charltonslaw.com</w:t>
        </w:r>
      </w:hyperlink>
    </w:p>
    <w:p>
      <w:r>
        <w:rPr>
          <w:b/>
        </w:rPr>
        <w:t xml:space="preserve">易周律师行 - 法讯 - 中国 - 第393期 - 2014年02月14日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6ad3b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3" Target="14a.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84" Target="17.pdf" TargetMode="External" /><Relationship Type="http://schemas.openxmlformats.org/officeDocument/2006/relationships/hyperlink" Id="rId88" Target="18.pdf" TargetMode="External" /><Relationship Type="http://schemas.openxmlformats.org/officeDocument/2006/relationships/hyperlink" Id="rId91" Target="19.pdf" TargetMode="External" /><Relationship Type="http://schemas.openxmlformats.org/officeDocument/2006/relationships/hyperlink" Id="rId29" Target="2.pdf" TargetMode="External" /><Relationship Type="http://schemas.openxmlformats.org/officeDocument/2006/relationships/hyperlink" Id="rId94" Target="20.pdf" TargetMode="External" /><Relationship Type="http://schemas.openxmlformats.org/officeDocument/2006/relationships/hyperlink" Id="rId97" Target="21.pdf" TargetMode="External" /><Relationship Type="http://schemas.openxmlformats.org/officeDocument/2006/relationships/hyperlink" Id="rId100" Target="22.pdf" TargetMode="External" /><Relationship Type="http://schemas.openxmlformats.org/officeDocument/2006/relationships/hyperlink" Id="rId104" Target="23.pdf" TargetMode="External" /><Relationship Type="http://schemas.openxmlformats.org/officeDocument/2006/relationships/hyperlink" Id="rId107" Target="24.pdf" TargetMode="External" /><Relationship Type="http://schemas.openxmlformats.org/officeDocument/2006/relationships/hyperlink" Id="rId110" Target="25.pdf" TargetMode="External" /><Relationship Type="http://schemas.openxmlformats.org/officeDocument/2006/relationships/hyperlink" Id="rId113" Target="26.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3" Target="6a.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96" Target="http://epaper.stcn.com/paper/zqsb/html/2014-02/11/content_543646.htm" TargetMode="External" /><Relationship Type="http://schemas.openxmlformats.org/officeDocument/2006/relationships/hyperlink" Id="rId87" Target="http://epaper.stcn.com/paper/zqsb/html/epaper/index/content_542945.htm" TargetMode="External" /><Relationship Type="http://schemas.openxmlformats.org/officeDocument/2006/relationships/hyperlink" Id="rId46" Target="http://epaper.stcn.com/paper/zqsb/html/epaper/index/content_543241.htm" TargetMode="External" /><Relationship Type="http://schemas.openxmlformats.org/officeDocument/2006/relationships/hyperlink" Id="rId25" Target="http://epaper.stcn.com/paper/zqsb/html/epaper/index/content_543274.htm" TargetMode="External" /><Relationship Type="http://schemas.openxmlformats.org/officeDocument/2006/relationships/hyperlink" Id="rId90" Target="http://epaper.stcn.com/paper/zqsb/html/epaper/index/content_543639.htm" TargetMode="External" /><Relationship Type="http://schemas.openxmlformats.org/officeDocument/2006/relationships/hyperlink" Id="rId93" Target="http://epaper.stcn.com/paper/zqsb/html/epaper/index/content_544122.htm" TargetMode="External" /><Relationship Type="http://schemas.openxmlformats.org/officeDocument/2006/relationships/hyperlink" Id="rId99" Target="http://epaper.stcn.com/paper/zqsb/html/epaper/index/content_545147.htm" TargetMode="External" /><Relationship Type="http://schemas.openxmlformats.org/officeDocument/2006/relationships/hyperlink" Id="rId42" Target="http://epaper.stcn.com/paper/zqsb/html/epaper/index/content_545430.htm" TargetMode="External" /><Relationship Type="http://schemas.openxmlformats.org/officeDocument/2006/relationships/hyperlink" Id="rId76" Target="http://gss.mof.gov.cn/zhengwuxinxi/zhengcefabu/201402/t20140211_1041832.html" TargetMode="External" /><Relationship Type="http://schemas.openxmlformats.org/officeDocument/2006/relationships/hyperlink" Id="rId31" Target="http://kjs.mof.gov.cn/zhengwuxinxi/zhengcefabu/201402/t20140210_1041598.html" TargetMode="External" /><Relationship Type="http://schemas.openxmlformats.org/officeDocument/2006/relationships/hyperlink" Id="rId37" Target="http://news.cnfol.com/zhengquanyaowen/20140213/16972131.shtml" TargetMode="External" /><Relationship Type="http://schemas.openxmlformats.org/officeDocument/2006/relationships/hyperlink" Id="rId63" Target="http://news.xinhuanet.com/fortune/2014-02/14/c_126132297.htm" TargetMode="External" /><Relationship Type="http://schemas.openxmlformats.org/officeDocument/2006/relationships/hyperlink" Id="rId61" Target="http://www.bjeit.gov.cn/zwgk/tzgg/201402/t20140211_31648.htm" TargetMode="External" /><Relationship Type="http://schemas.openxmlformats.org/officeDocument/2006/relationships/hyperlink" Id="rId21" Target="http://www.charltonslaw.com.cn/china-news-alerts-cn-issue-393/" TargetMode="External" /><Relationship Type="http://schemas.openxmlformats.org/officeDocument/2006/relationships/hyperlink" Id="rId40" Target="http://www.chinamoney.com.cn/fe/Info/6985182" TargetMode="External" /><Relationship Type="http://schemas.openxmlformats.org/officeDocument/2006/relationships/hyperlink" Id="rId83" Target="http://www.circ.gov.cn/web/site0/tab5168/info3903964.htm" TargetMode="External" /><Relationship Type="http://schemas.openxmlformats.org/officeDocument/2006/relationships/hyperlink" Id="rId79" Target="http://www.customs.gov.cn/publish/portal0/tab49564/info693782.htm" TargetMode="External" /><Relationship Type="http://schemas.openxmlformats.org/officeDocument/2006/relationships/hyperlink" Id="rId28" Target="http://www.gov.cn/gzdt/2014-02/08/content_2581755.htm" TargetMode="External" /><Relationship Type="http://schemas.openxmlformats.org/officeDocument/2006/relationships/hyperlink" Id="rId55" Target="http://www.gov.cn/gzdt/2014-02/10/content_2582440.htm" TargetMode="External" /><Relationship Type="http://schemas.openxmlformats.org/officeDocument/2006/relationships/hyperlink" Id="rId52" Target="http://www.gov.cn/zwgk/2014-02/10/content_2581766.htm" TargetMode="External" /><Relationship Type="http://schemas.openxmlformats.org/officeDocument/2006/relationships/hyperlink" Id="rId112" Target="http://www.jsfao.gov.cn/NewsDetail.asp?NewsID=22188" TargetMode="External" /><Relationship Type="http://schemas.openxmlformats.org/officeDocument/2006/relationships/hyperlink" Id="rId49" Target="http://www.miit.gov.cn/n11293472/n11293832/n11293907/n11368223/15871297.html" TargetMode="External" /><Relationship Type="http://schemas.openxmlformats.org/officeDocument/2006/relationships/hyperlink" Id="rId67" Target="http://www.moc.gov.cn/zfxxgk/bnssj/syj/201402/t20140208_1573450.html" TargetMode="External" /><Relationship Type="http://schemas.openxmlformats.org/officeDocument/2006/relationships/hyperlink" Id="rId106" Target="http://www.mohurd.gov.cn/zcfg/jsbwj_0/jsbwjczghyjs/201402/t20140211_217056.html" TargetMode="External" /><Relationship Type="http://schemas.openxmlformats.org/officeDocument/2006/relationships/hyperlink" Id="rId70" Target="http://www.mot.gov.cn/zfxxgk/bnssj/zcfgs/201402/t20140211_1574583.html" TargetMode="External" /><Relationship Type="http://schemas.openxmlformats.org/officeDocument/2006/relationships/hyperlink" Id="rId103" Target="http://www.nhfpc.gov.cn/tigs/s7846/201402/3e605fe2f3e64c46be3e516fc1fb8f62.shtml" TargetMode="External" /><Relationship Type="http://schemas.openxmlformats.org/officeDocument/2006/relationships/hyperlink" Id="rId34" Target="http://www.sac.net.cn/tzgg/201402/t20140212_82303.html" TargetMode="External" /><Relationship Type="http://schemas.openxmlformats.org/officeDocument/2006/relationships/hyperlink" Id="rId58" Target="http://www.saic.gov.cn/zwgk/zyfb/zjl/scgfgls/201402/t20140213_141724.html" TargetMode="External" /><Relationship Type="http://schemas.openxmlformats.org/officeDocument/2006/relationships/hyperlink" Id="rId109" Target="http://zhs.mof.gov.cn/zhengwuxinxi/zhengcefabu/201402/t20140212_1042453.html" TargetMode="External" /><Relationship Type="http://schemas.openxmlformats.org/officeDocument/2006/relationships/hyperlink" Id="rId72" Target="https://hk.lexiscn.com/latest_message.php?access=show_detail&amp;id=93855" TargetMode="External" /><Relationship Type="http://schemas.openxmlformats.org/officeDocument/2006/relationships/hyperlink" Id="rId11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3" Target="14a.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84" Target="17.pdf" TargetMode="External" /><Relationship Type="http://schemas.openxmlformats.org/officeDocument/2006/relationships/hyperlink" Id="rId88" Target="18.pdf" TargetMode="External" /><Relationship Type="http://schemas.openxmlformats.org/officeDocument/2006/relationships/hyperlink" Id="rId91" Target="19.pdf" TargetMode="External" /><Relationship Type="http://schemas.openxmlformats.org/officeDocument/2006/relationships/hyperlink" Id="rId29" Target="2.pdf" TargetMode="External" /><Relationship Type="http://schemas.openxmlformats.org/officeDocument/2006/relationships/hyperlink" Id="rId94" Target="20.pdf" TargetMode="External" /><Relationship Type="http://schemas.openxmlformats.org/officeDocument/2006/relationships/hyperlink" Id="rId97" Target="21.pdf" TargetMode="External" /><Relationship Type="http://schemas.openxmlformats.org/officeDocument/2006/relationships/hyperlink" Id="rId100" Target="22.pdf" TargetMode="External" /><Relationship Type="http://schemas.openxmlformats.org/officeDocument/2006/relationships/hyperlink" Id="rId104" Target="23.pdf" TargetMode="External" /><Relationship Type="http://schemas.openxmlformats.org/officeDocument/2006/relationships/hyperlink" Id="rId107" Target="24.pdf" TargetMode="External" /><Relationship Type="http://schemas.openxmlformats.org/officeDocument/2006/relationships/hyperlink" Id="rId110" Target="25.pdf" TargetMode="External" /><Relationship Type="http://schemas.openxmlformats.org/officeDocument/2006/relationships/hyperlink" Id="rId113" Target="26.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3" Target="6a.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96" Target="http://epaper.stcn.com/paper/zqsb/html/2014-02/11/content_543646.htm" TargetMode="External" /><Relationship Type="http://schemas.openxmlformats.org/officeDocument/2006/relationships/hyperlink" Id="rId87" Target="http://epaper.stcn.com/paper/zqsb/html/epaper/index/content_542945.htm" TargetMode="External" /><Relationship Type="http://schemas.openxmlformats.org/officeDocument/2006/relationships/hyperlink" Id="rId46" Target="http://epaper.stcn.com/paper/zqsb/html/epaper/index/content_543241.htm" TargetMode="External" /><Relationship Type="http://schemas.openxmlformats.org/officeDocument/2006/relationships/hyperlink" Id="rId25" Target="http://epaper.stcn.com/paper/zqsb/html/epaper/index/content_543274.htm" TargetMode="External" /><Relationship Type="http://schemas.openxmlformats.org/officeDocument/2006/relationships/hyperlink" Id="rId90" Target="http://epaper.stcn.com/paper/zqsb/html/epaper/index/content_543639.htm" TargetMode="External" /><Relationship Type="http://schemas.openxmlformats.org/officeDocument/2006/relationships/hyperlink" Id="rId93" Target="http://epaper.stcn.com/paper/zqsb/html/epaper/index/content_544122.htm" TargetMode="External" /><Relationship Type="http://schemas.openxmlformats.org/officeDocument/2006/relationships/hyperlink" Id="rId99" Target="http://epaper.stcn.com/paper/zqsb/html/epaper/index/content_545147.htm" TargetMode="External" /><Relationship Type="http://schemas.openxmlformats.org/officeDocument/2006/relationships/hyperlink" Id="rId42" Target="http://epaper.stcn.com/paper/zqsb/html/epaper/index/content_545430.htm" TargetMode="External" /><Relationship Type="http://schemas.openxmlformats.org/officeDocument/2006/relationships/hyperlink" Id="rId76" Target="http://gss.mof.gov.cn/zhengwuxinxi/zhengcefabu/201402/t20140211_1041832.html" TargetMode="External" /><Relationship Type="http://schemas.openxmlformats.org/officeDocument/2006/relationships/hyperlink" Id="rId31" Target="http://kjs.mof.gov.cn/zhengwuxinxi/zhengcefabu/201402/t20140210_1041598.html" TargetMode="External" /><Relationship Type="http://schemas.openxmlformats.org/officeDocument/2006/relationships/hyperlink" Id="rId37" Target="http://news.cnfol.com/zhengquanyaowen/20140213/16972131.shtml" TargetMode="External" /><Relationship Type="http://schemas.openxmlformats.org/officeDocument/2006/relationships/hyperlink" Id="rId63" Target="http://news.xinhuanet.com/fortune/2014-02/14/c_126132297.htm" TargetMode="External" /><Relationship Type="http://schemas.openxmlformats.org/officeDocument/2006/relationships/hyperlink" Id="rId61" Target="http://www.bjeit.gov.cn/zwgk/tzgg/201402/t20140211_31648.htm" TargetMode="External" /><Relationship Type="http://schemas.openxmlformats.org/officeDocument/2006/relationships/hyperlink" Id="rId21" Target="http://www.charltonslaw.com.cn/china-news-alerts-cn-issue-393/" TargetMode="External" /><Relationship Type="http://schemas.openxmlformats.org/officeDocument/2006/relationships/hyperlink" Id="rId40" Target="http://www.chinamoney.com.cn/fe/Info/6985182" TargetMode="External" /><Relationship Type="http://schemas.openxmlformats.org/officeDocument/2006/relationships/hyperlink" Id="rId83" Target="http://www.circ.gov.cn/web/site0/tab5168/info3903964.htm" TargetMode="External" /><Relationship Type="http://schemas.openxmlformats.org/officeDocument/2006/relationships/hyperlink" Id="rId79" Target="http://www.customs.gov.cn/publish/portal0/tab49564/info693782.htm" TargetMode="External" /><Relationship Type="http://schemas.openxmlformats.org/officeDocument/2006/relationships/hyperlink" Id="rId28" Target="http://www.gov.cn/gzdt/2014-02/08/content_2581755.htm" TargetMode="External" /><Relationship Type="http://schemas.openxmlformats.org/officeDocument/2006/relationships/hyperlink" Id="rId55" Target="http://www.gov.cn/gzdt/2014-02/10/content_2582440.htm" TargetMode="External" /><Relationship Type="http://schemas.openxmlformats.org/officeDocument/2006/relationships/hyperlink" Id="rId52" Target="http://www.gov.cn/zwgk/2014-02/10/content_2581766.htm" TargetMode="External" /><Relationship Type="http://schemas.openxmlformats.org/officeDocument/2006/relationships/hyperlink" Id="rId112" Target="http://www.jsfao.gov.cn/NewsDetail.asp?NewsID=22188" TargetMode="External" /><Relationship Type="http://schemas.openxmlformats.org/officeDocument/2006/relationships/hyperlink" Id="rId49" Target="http://www.miit.gov.cn/n11293472/n11293832/n11293907/n11368223/15871297.html" TargetMode="External" /><Relationship Type="http://schemas.openxmlformats.org/officeDocument/2006/relationships/hyperlink" Id="rId67" Target="http://www.moc.gov.cn/zfxxgk/bnssj/syj/201402/t20140208_1573450.html" TargetMode="External" /><Relationship Type="http://schemas.openxmlformats.org/officeDocument/2006/relationships/hyperlink" Id="rId106" Target="http://www.mohurd.gov.cn/zcfg/jsbwj_0/jsbwjczghyjs/201402/t20140211_217056.html" TargetMode="External" /><Relationship Type="http://schemas.openxmlformats.org/officeDocument/2006/relationships/hyperlink" Id="rId70" Target="http://www.mot.gov.cn/zfxxgk/bnssj/zcfgs/201402/t20140211_1574583.html" TargetMode="External" /><Relationship Type="http://schemas.openxmlformats.org/officeDocument/2006/relationships/hyperlink" Id="rId103" Target="http://www.nhfpc.gov.cn/tigs/s7846/201402/3e605fe2f3e64c46be3e516fc1fb8f62.shtml" TargetMode="External" /><Relationship Type="http://schemas.openxmlformats.org/officeDocument/2006/relationships/hyperlink" Id="rId34" Target="http://www.sac.net.cn/tzgg/201402/t20140212_82303.html" TargetMode="External" /><Relationship Type="http://schemas.openxmlformats.org/officeDocument/2006/relationships/hyperlink" Id="rId58" Target="http://www.saic.gov.cn/zwgk/zyfb/zjl/scgfgls/201402/t20140213_141724.html" TargetMode="External" /><Relationship Type="http://schemas.openxmlformats.org/officeDocument/2006/relationships/hyperlink" Id="rId109" Target="http://zhs.mof.gov.cn/zhengwuxinxi/zhengcefabu/201402/t20140212_1042453.html" TargetMode="External" /><Relationship Type="http://schemas.openxmlformats.org/officeDocument/2006/relationships/hyperlink" Id="rId72" Target="https://hk.lexiscn.com/latest_message.php?access=show_detail&amp;id=93855" TargetMode="External" /><Relationship Type="http://schemas.openxmlformats.org/officeDocument/2006/relationships/hyperlink" Id="rId11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第393期 - 2014年02月14日</dc:title>
  <dc:creator/>
</cp:coreProperties>
</file>