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第394期</w:t>
      </w:r>
      <w:r>
        <w:t xml:space="preserve"> </w:t>
      </w:r>
      <w:r>
        <w:t xml:space="preserve">-</w:t>
      </w:r>
      <w:r>
        <w:t xml:space="preserve"> </w:t>
      </w:r>
      <w:r>
        <w:t xml:space="preserve">2014年02月21日</w:t>
      </w:r>
    </w:p>
    <w:p>
      <w:hyperlink r:id="rId21">
        <w:r>
          <w:rPr>
            <w:rStyle w:val="Link"/>
          </w:rPr>
          <w:t xml:space="preserve">网络版</w:t>
        </w:r>
      </w:hyperlink>
    </w:p>
    <w:p>
      <w:pPr>
        <w:pStyle w:val="Heading1"/>
      </w:pPr>
      <w:bookmarkStart w:id="22" w:name="法讯中国第394期"/>
      <w:bookmarkEnd w:id="22"/>
      <w:r>
        <w:t xml:space="preserve">法讯中国第394期</w:t>
      </w:r>
    </w:p>
    <w:p>
      <w:pPr>
        <w:pStyle w:val="Heading2"/>
      </w:pPr>
      <w:bookmarkStart w:id="23" w:name="资本市场"/>
      <w:bookmarkEnd w:id="23"/>
      <w:r>
        <w:t xml:space="preserve">资本市场</w:t>
      </w:r>
    </w:p>
    <w:p>
      <w:pPr>
        <w:pStyle w:val="Heading3"/>
      </w:pPr>
      <w:bookmarkStart w:id="24" w:name="证监会公开63项行政审批事项"/>
      <w:bookmarkEnd w:id="24"/>
      <w:r>
        <w:t xml:space="preserve">证监会公开63项行政审批事项</w:t>
      </w:r>
    </w:p>
    <w:p>
      <w:r>
        <w:t xml:space="preserve">中国证监会2月17日首次公开行政审批事项目录。目录共63项，涉及上市公司非公开发行新股核准、证券公司在境外设立、收购或者参股证券经营机构审批及全国中小企业股份转让系统公司章程和业务规则的审批、股份有限公司境外公开募集股份及上市核准等审批事项。其中业务资格类39项，机构管理类20项，人员管理类4项。</w:t>
      </w:r>
    </w:p>
    <w:p>
      <w:r>
        <w:t xml:space="preserve">此次公开行政审批目录是证监会根据《国务院办公厅关于公开国务院各部门行政审批事项等相关工作的通知》要求，公开接受社会监督的实际举措。近日，国务院印发《国务院关于取消和下放一批行政审批项目的决定》，再次取消和下放64项行政审批事项和18个子项，涉及证监会的取消项目包括：证监会审批的证券公司借入次级债审批、境外期货业务持证企业年度外汇风险敞口核准以及证券公司专项投资审批等三个项目。</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两部门重新核定银行业监管收费标准"/>
      <w:bookmarkEnd w:id="27"/>
      <w:r>
        <w:t xml:space="preserve">两部门重新核定银行业监管收费标准</w:t>
      </w:r>
    </w:p>
    <w:p>
      <w:r>
        <w:t xml:space="preserve">财政部网站2月18日消息，近日，国家发改委、财政部联合发布《关于重新核定银行业监管收费标准及有关问题的通知》（以下简称《通知》），调整银行业监管收费标准。</w:t>
      </w:r>
    </w:p>
    <w:p>
      <w:r>
        <w:t xml:space="preserve">根据《通知》，银监会向纳入监管范围的各类商业银行、信用社、财务公司、信托投资公司、金融租赁公司、邮政储蓄机构等收取的机构监管费，将按被监管单位上年末实收资本的一定比例并考虑风险因素计收。</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设三大指标管控银行流动性风险"/>
      <w:bookmarkEnd w:id="30"/>
      <w:r>
        <w:t xml:space="preserve">银监会设三大指标管控银行流动性风险</w:t>
      </w:r>
    </w:p>
    <w:p>
      <w:r>
        <w:t xml:space="preserve">银监会2月19日发布《商业银行流动性风险管理办法（试行）》，境内商业银行将受更严格监管。</w:t>
      </w:r>
    </w:p>
    <w:p>
      <w:r>
        <w:t xml:space="preserve">《流动性办法》引入了巴Ⅲ流动性覆盖率这一新指标，同时对现行的流动性风险指标进行梳理，将其区分为合规性的监管指标和用于分析、评估流动性风险的监测工具。其中，合规性监管指标包括流动性覆盖率、存贷比、流动性比例。</w:t>
      </w:r>
    </w:p>
    <w:p>
      <w:r>
        <w:t xml:space="preserve">《流动性办法》自2014年3月1日起施行。考虑到流动性覆盖率的计量较为复杂，银行需要一定的时间对流动性风险管理政策、程序、管理信息系统和会计科目进行调整完善，《流动性办法》对流动性覆盖率规定了与巴Ⅲ相一致的过渡期，即商业银行流动性覆盖率应当于2018年底前达到100%；在过渡期内，应当于2014年底、2015年底、2016年底及2017年底前分别达到60%、70%、80%、90%。</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跨境人民币双向支付可通过互联网完成"/>
      <w:bookmarkEnd w:id="33"/>
      <w:r>
        <w:t xml:space="preserve">跨境人民币双向支付可通过互联网完成</w:t>
      </w:r>
    </w:p>
    <w:p>
      <w:r>
        <w:t xml:space="preserve">央行上海总部日前在银行、支付机构等范围内，下发了《关于上海市支付机构开展跨境人民币支付业务的实施意见》。日前，央行上海总部在上海自贸试验区启动了跨境人民币支付业务试点，这是其“金融30条”以后第一个落地的政策。</w:t>
      </w:r>
    </w:p>
    <w:p>
      <w:r>
        <w:t xml:space="preserve">《意见》在开办业务主体中，明确了上海市注册成立并有互联网支付业务许可的支付机构，包括在试验区内注册成立和试验区外，上海市注册成立的支付机构，上海市以外地区注册成立并有互联网支付业务许可的支付机构在试验区内设立的分公司（支付机构）可参与其中。</w:t>
      </w:r>
    </w:p>
    <w:p>
      <w:r>
        <w:t xml:space="preserve">《意见》明确，支付机构可依托互联网、为境内外收付款人之间，基于非自有贸易账户的真实交易需要转移人民币资金提供支付服务，跨境人民币支付业务为双向支付，包括境内对境外的支付和境外对境内的支付，不得轧差支付。</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r>
        <w:t xml:space="preserve"> </w:t>
      </w:r>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务院印发注册资本登记制度改革方案"/>
      <w:bookmarkEnd w:id="38"/>
      <w:r>
        <w:t xml:space="preserve">国务院印发注册资本登记制度改革方案</w:t>
      </w:r>
    </w:p>
    <w:p>
      <w:r>
        <w:t xml:space="preserve">中央政府门户网站2月18日消息，2月7日，国务院印发《注册资本登记制度改革方案》（以下简称《方案》）。</w:t>
      </w:r>
    </w:p>
    <w:p>
      <w:r>
        <w:t xml:space="preserve">《方案》要求放松市场主体准入管制，实行注册资本认缴登记制，并放宽注册资本登记条件。公司实收资本不再作为工商登记事项。公司登记时，无需提交验资报告。《方案》指出，企业年度检验制度将改为企业年度报告公示制度。此外，《方案》还公布了暂不实行注册资本认缴登记制的行业名单。</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税务"/>
      <w:bookmarkEnd w:id="41"/>
      <w:r>
        <w:t xml:space="preserve">税务</w:t>
      </w:r>
    </w:p>
    <w:p>
      <w:pPr>
        <w:pStyle w:val="Heading3"/>
      </w:pPr>
      <w:bookmarkStart w:id="42" w:name="税务总局公布-87项行政审批清单"/>
      <w:bookmarkEnd w:id="42"/>
      <w:r>
        <w:t xml:space="preserve">税务总局公布 87项行政审批清单</w:t>
      </w:r>
    </w:p>
    <w:p>
      <w:r>
        <w:t xml:space="preserve">为深入推进行政审批制度改革，主动接受社会监督，国家税务总局2月17日在其官方网站正式公布８７项行政审批事项“清单”。</w:t>
      </w:r>
    </w:p>
    <w:p>
      <w:r>
        <w:t xml:space="preserve">这８７项行政审批事项中，行政许可７项，非行政许可审批８０项，主要涉及税务日常管理、涉外税收管理、减免退税管理和税务师事务所管理等行政审批领域。</w:t>
      </w:r>
    </w:p>
    <w:p>
      <w:r>
        <w:t xml:space="preserve">税务总局明确要求，不得在公开的“清单”外实施其他行政审批，不得对已经取消和下放的审批项目以其他名目搞变相审批，坚决杜绝随意新设、边减边增、明减暗增、明放暗收等现象。对违反规定的将严肃追究相关单位和人员责任。</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r>
        <w:t xml:space="preserve"> </w:t>
      </w:r>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保险"/>
      <w:bookmarkEnd w:id="47"/>
      <w:r>
        <w:t xml:space="preserve">保险</w:t>
      </w:r>
    </w:p>
    <w:p>
      <w:pPr>
        <w:pStyle w:val="Heading3"/>
      </w:pPr>
      <w:bookmarkStart w:id="48" w:name="险资投资权益类资产比例可达三成"/>
      <w:bookmarkEnd w:id="48"/>
      <w:r>
        <w:t xml:space="preserve">险资投资权益类资产比例可达三成</w:t>
      </w:r>
    </w:p>
    <w:p>
      <w:r>
        <w:t xml:space="preserve">2月19日，保监会发布《关于加强和改进保险资金运用比例监管的通知》，这意味着酝酿近两年的保险资金运用比例监管正式成行。</w:t>
      </w:r>
    </w:p>
    <w:p>
      <w:r>
        <w:t xml:space="preserve">《通知》根据资产风险收益特征，将保险资金各种运用形式整合为流动性资产、固定收益类资产、权益类资产、不动产类资产和其他金融资产等五个大类资产。监管比例大幅减少，由原50余项减少至10余项，并基本做到“一个文件管比例”。</w:t>
      </w:r>
    </w:p>
    <w:p>
      <w:r>
        <w:t xml:space="preserve">《通知》称，险资投资权益类资产、不动产类资产、其他金融资产、境外投资的账面余额占保险公司上季末总资产的监管比例分别不高于30%、30%、25%、15%。投资单一上述资产的监管比例均不高于保险公司上季末总资产的5%，投资单一法人主体余额的监管比例不高于保险公司上季末总资产的20%。</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保监会明确规范高现金价值产品有关事项"/>
      <w:bookmarkEnd w:id="51"/>
      <w:r>
        <w:t xml:space="preserve">保监会明确规范高现金价值产品有关事项</w:t>
      </w:r>
    </w:p>
    <w:p>
      <w:r>
        <w:t xml:space="preserve">保监会网站2月19日消息，近日，中国保监会发布《关于规范高现金价值产品有关事项的通知》（以下简称《通知》）。</w:t>
      </w:r>
    </w:p>
    <w:p>
      <w:r>
        <w:t xml:space="preserve">《通知》明确，保险公司销售高现金价值产品的，应保持偿付能力充足率不低于150%。保险公司偿付能力充足率低于150%时，应立即停止销售高现金价值产品。此外，保险公司应合理控制高现金价值产品的保费规模，年度保费收入应与保险公司的资本实力相匹配。</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并购"/>
      <w:bookmarkEnd w:id="54"/>
      <w:r>
        <w:t xml:space="preserve">并购</w:t>
      </w:r>
    </w:p>
    <w:p>
      <w:pPr>
        <w:pStyle w:val="Heading3"/>
      </w:pPr>
      <w:bookmarkStart w:id="55" w:name="金叶珠宝定增57亿收购美国油田"/>
      <w:bookmarkEnd w:id="55"/>
      <w:r>
        <w:t xml:space="preserve">金叶珠宝定增57亿收购美国油田</w:t>
      </w:r>
    </w:p>
    <w:p>
      <w:r>
        <w:t xml:space="preserve">金叶珠宝2月17日公告，公司将以不低于11.98元/股的价格非公开发行4.75亿股A股股票，募集总额不超过56.9亿元，用于收购美国油田项目以及补充公司流动资金。本次定增完成后，金叶珠宝主营业务将涵盖黄金资源经营及石油能源开发。</w:t>
      </w:r>
    </w:p>
    <w:p>
      <w:r>
        <w:t xml:space="preserve">2月6日，金叶珠宝与EIH公司、Manolo公司和ERG资源签署了股权转让和发行的框架协议。EIH 公司为ERG资源的100%控股股东。出于EIH公司方面交易税收结构优化的考虑，目前，EIH公司正在将其持有的部分ERG资源股权转让于Manolo公司。本次金叶珠宝收购ERG资源部分股权并认购新发行股权交易完成后，金叶珠宝将持有ERG资源95%的股权，EIH和Manolo将合计持有ERG资源5%的股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东吴证券拟收购东吴基金21股权"/>
      <w:bookmarkEnd w:id="58"/>
      <w:r>
        <w:t xml:space="preserve">东吴证券拟收购东吴基金21%股权</w:t>
      </w:r>
    </w:p>
    <w:p>
      <w:r>
        <w:t xml:space="preserve">2月15日，东吴证券发布公告，拟收购江阴澄星实业集团有限公司持有的东吴基金管理有限公司21%股权。</w:t>
      </w:r>
    </w:p>
    <w:p>
      <w:r>
        <w:t xml:space="preserve">公告显示，东吴证券拟以不超过人民币11900万元收购江阴澄星实业集团有限公司持有的东吴基金管理有限公司21％股权，若交易完成，东吴证券将持有东吴基金70％的股权，成为控股股东。《关于收购东吴基金管理有限公司部分股权的议案》已经获得董事会审议通过，尚需取得中国证监会的核准。2月14日，东吴证券已经与澄星实业签订了《关于东吴基金管理有限公司之股权转让合同》。</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银星能源收购大股东风电资产"/>
      <w:bookmarkEnd w:id="61"/>
      <w:r>
        <w:t xml:space="preserve">银星能源收购大股东风电资产</w:t>
      </w:r>
    </w:p>
    <w:p>
      <w:r>
        <w:t xml:space="preserve">银星能源日前发布资产重组预案，拟斥资12.8亿元收购控股股东中铝宁夏能源所持有的风电类相关资产和负债。</w:t>
      </w:r>
    </w:p>
    <w:p>
      <w:r>
        <w:t xml:space="preserve">2012年3月，中铝宁夏能源曾作出承诺：将在未来三年左右的时间择机分阶段、分步骤地解决同业竞争问题，向银星能源置入风力发电业务相关资产。</w:t>
      </w:r>
    </w:p>
    <w:p>
      <w:r>
        <w:t xml:space="preserve">重组预案显示，银星能源此番收购资产包括银星风力发电100%股权、宁电风光100%股权、神州风电50%股权、中铝宁夏能源阿左旗分公司、太阳山发电厂、贺兰山发电厂的经营性资产及相关负债以及风电基地的整体资产。</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新国都8.4亿收购网游公司"/>
      <w:bookmarkEnd w:id="64"/>
      <w:r>
        <w:t xml:space="preserve">新国都8.4亿收购网游公司</w:t>
      </w:r>
    </w:p>
    <w:p>
      <w:r>
        <w:t xml:space="preserve">新国都2月21日披露重组预案称，拟以8.4亿元股权和现金收购深圳市范特西科技有限公司100%股权，该公司为一家体育类网络游戏开发商和运营商。公司股票将于2月21日复牌交易。</w:t>
      </w:r>
    </w:p>
    <w:p>
      <w:r>
        <w:t xml:space="preserve">按照双方签署的协议，本次交易对价预计为8.4亿元，其中66.67%即5.6亿元将由新国都向深圳范特西定向增发3773.58万股的形式支付；剩余的2.8亿元则以现金支付，现金来源则需上市公司向其实际控制人、新国都董事长刘祥及主要股东刘亚、江汉三名特定投资者发行1886.79万股募集。上述增发的发行价格均为14.84元/股。</w:t>
      </w:r>
    </w:p>
    <w:p>
      <w:r>
        <w:t xml:space="preserve">而作为交易对价，深圳范特西则承诺，其2014年~2016年的年度净利润分别不低于7900万元、1亿元和1.13亿元。</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国务院再次取消和下放一批行政审批项目"/>
      <w:bookmarkEnd w:id="68"/>
      <w:r>
        <w:t xml:space="preserve">国务院再次取消和下放一批行政审批项目</w:t>
      </w:r>
    </w:p>
    <w:p>
      <w:r>
        <w:t xml:space="preserve">2月15日，国务院发布《关于取消和下放一批行政审批项目的决定》（以下简称《决定》），再次取消和下放64项行政审批事项和18个子项。</w:t>
      </w:r>
    </w:p>
    <w:p>
      <w:r>
        <w:t xml:space="preserve">根据《决定》，本次取消和下放的行政审批事项共涉及24个部门，其中涉及项目较多的有工业和信息化部、国土资源部和民航局等部门。此外，本次取消和下放行政审批事项突出体现在生产经营领域，把企业主体设立、生产许可、经营范围、资本和资产处置等与企业发展息息相关的审批事项作为了取消和下放的重点。</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财政部要求各地加强对土地出让收益中计提农田水利建设资金和教育资金的征收管理"/>
      <w:bookmarkEnd w:id="71"/>
      <w:r>
        <w:t xml:space="preserve">财政部要求各地加强对土地出让收益中计提农田水利建设资金和教育资金的征收管理</w:t>
      </w:r>
    </w:p>
    <w:p>
      <w:r>
        <w:t xml:space="preserve">财政部网站2月19日消息，近日，财政部印发《关于加强从土地出让收益中计提农田水利建设资金和教育资金征收管理的通知》（以下简称《通知》），要求各地加强从土地出让收益中计提农田水利建设资金和教育资金的征收管理工作。</w:t>
      </w:r>
    </w:p>
    <w:p>
      <w:r>
        <w:t xml:space="preserve">《通知》要求，市县财政部门要严格按照规定将土地出让收入足额缴入国库，不得隐瞒土地出让收入规模；要严格按规定口径从土地出让收益中计提两项资金，对于简单按照土地出让收入的一定比例计提两项资金的要限期纠正。</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我国将依法公开制售假冒伪劣商品和侵犯知识产权行政处罚案件信息"/>
      <w:bookmarkEnd w:id="74"/>
      <w:r>
        <w:t xml:space="preserve">我国将依法公开制售假冒伪劣商品和侵犯知识产权行政处罚案件信息</w:t>
      </w:r>
    </w:p>
    <w:p>
      <w:r>
        <w:t xml:space="preserve">中央政府门户网站2月19日消息，2月4日，国务院批转全国打击侵犯知识产权和制售假冒伪劣商品工作领导小组《关于依法公开制售假冒伪劣商品和侵犯知识产权行政处罚案件信息的意见（试行）》。</w:t>
      </w:r>
    </w:p>
    <w:p>
      <w:r>
        <w:t xml:space="preserve">《意见》指出，行政执法机关应当主要通过政府网站主动公开假冒伪劣和侵权行政处罚案件信息，也可以选择公告栏、新闻发布会以及报刊、广播、电视等便于公众知晓的方式予以公开。</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财政部明确城乡建设用地增减挂钩试点财税政策问题"/>
      <w:bookmarkEnd w:id="77"/>
      <w:r>
        <w:t xml:space="preserve">财政部明确城乡建设用地增减挂钩试点财税政策问题</w:t>
      </w:r>
    </w:p>
    <w:p>
      <w:r>
        <w:t xml:space="preserve">财政部网站2月19日消息，1月26日，财政部发布《关于城乡建设用地增减挂钩试点有关财税政策问题的通知》。</w:t>
      </w:r>
    </w:p>
    <w:p>
      <w:r>
        <w:t xml:space="preserve">《通知》要求加强增减挂钩相关收入征管，落实“收支两条线”政策；规范增减挂钩支出管理，加大对增减挂钩项目的支持力度；建立增减挂钩项目支出预决算制度，按照项目实施进度核拨资金；明确增减挂钩税费优惠政策，减轻增减挂钩项目负担；坚持量力而行的原则，从严控制增减挂钩项目的债务规模；加大监督检查力度，提高增减挂钩项目实施效果。</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国土资源部进一步落实最严格耕地保护制度"/>
      <w:bookmarkEnd w:id="80"/>
      <w:r>
        <w:t xml:space="preserve">国土资源部进一步落实最严格耕地保护制度</w:t>
      </w:r>
    </w:p>
    <w:p>
      <w:r>
        <w:t xml:space="preserve">国土资源部网站2月20日消息，2月13日，国土资源部发布《关于强化管控落实最严格耕地保护制度的通知》（以下简称《通知》）。</w:t>
      </w:r>
    </w:p>
    <w:p>
      <w:r>
        <w:t xml:space="preserve">《通知》要求合理调整土地利用总体规划，严格划定城市开发边界、永久基本农田和生态保护红线。《通知》强调，坚持农地农用，不得借农地流转之名违规搞非农业建设，严禁在流转农地上建设旅游度假村、高尔夫球场、别墅、农家乐、私人会所等。</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工商总局3月1日起停止企业年度检验工作"/>
      <w:bookmarkEnd w:id="83"/>
      <w:r>
        <w:t xml:space="preserve">工商总局：3月1日起停止企业年度检验工作</w:t>
      </w:r>
    </w:p>
    <w:p>
      <w:r>
        <w:t xml:space="preserve">工商总局网站2月20日消息，近日，工商总局发布《关于停止企业年度检验工作的通知》（以下简称《通知》）。</w:t>
      </w:r>
    </w:p>
    <w:p>
      <w:r>
        <w:t xml:space="preserve">《通知》明确，工商总局将自2014年3月1日起停止对领取营业执照的有限责任公司、股份有限公司、非公司企业法人、合伙企业、个人独资企业及其分支机构、来华从事经营活动的外国（地区）企业，以及其他经营单位的企业年度检验工作。</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6">
        <w:r>
          <w:rPr>
            <w:rStyle w:val="Link"/>
          </w:rPr>
          <w:t xml:space="preserve">unsubscribe@charltonslaw.com</w:t>
        </w:r>
      </w:hyperlink>
    </w:p>
    <w:p>
      <w:r>
        <w:rPr>
          <w:b/>
        </w:rPr>
        <w:t xml:space="preserve">易周律师行 - 法讯 - 中国 - 第394期 - 2014年02月21日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4f11e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79" Target="16.pdf" TargetMode="External" /><Relationship Type="http://schemas.openxmlformats.org/officeDocument/2006/relationships/hyperlink" Id="rId82" Target="17.pdf" TargetMode="External" /><Relationship Type="http://schemas.openxmlformats.org/officeDocument/2006/relationships/hyperlink" Id="rId85"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6" Target="6a.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59" Target="http://epaper.stcn.com/paper/zqsb/html/2014-02/17/content_546107.htm" TargetMode="External" /><Relationship Type="http://schemas.openxmlformats.org/officeDocument/2006/relationships/hyperlink" Id="rId56" Target="http://epaper.stcn.com/paper/zqsb/html/2014-02/17/content_546137.htm" TargetMode="External" /><Relationship Type="http://schemas.openxmlformats.org/officeDocument/2006/relationships/hyperlink" Id="rId43" Target="http://epaper.stcn.com/paper/zqsb/html/2014-02/18/content_546499.htm" TargetMode="External" /><Relationship Type="http://schemas.openxmlformats.org/officeDocument/2006/relationships/hyperlink" Id="rId34" Target="http://epaper.stcn.com/paper/zqsb/html/epaper/index/content_546884.htm" TargetMode="External" /><Relationship Type="http://schemas.openxmlformats.org/officeDocument/2006/relationships/hyperlink" Id="rId62" Target="http://epaper.stcn.com/paper/zqsb/html/epaper/index/content_547139.htm" TargetMode="External" /><Relationship Type="http://schemas.openxmlformats.org/officeDocument/2006/relationships/hyperlink" Id="rId65" Target="http://epaper.stcn.com/paper/zqsb/html/epaper/index/content_547140.htm" TargetMode="External" /><Relationship Type="http://schemas.openxmlformats.org/officeDocument/2006/relationships/hyperlink" Id="rId36" Target="http://shanghai.pbc.gov.cn/publish/fzh_shanghai/2974/2014/20140218171017682524099/20140218171017682524099_.html" TargetMode="External" /><Relationship Type="http://schemas.openxmlformats.org/officeDocument/2006/relationships/hyperlink" Id="rId31" Target="http://www.cbrc.gov.cn/chinese/home/docView/A5439B4FE6934D2E8926BFF3F9ECDD44.html" TargetMode="External" /><Relationship Type="http://schemas.openxmlformats.org/officeDocument/2006/relationships/hyperlink" Id="rId21" Target="http://www.charltonslaw.com.cn/china-news-alerts-cn-issue-394/" TargetMode="External" /><Relationship Type="http://schemas.openxmlformats.org/officeDocument/2006/relationships/hyperlink" Id="rId45" Target="http://www.chinatax.gov.cn/n2226/n2271/n2272/c653720/content.html" TargetMode="External" /><Relationship Type="http://schemas.openxmlformats.org/officeDocument/2006/relationships/hyperlink" Id="rId49" Target="http://www.circ.gov.cn/web/site0/tab5168/info3904709.htm" TargetMode="External" /><Relationship Type="http://schemas.openxmlformats.org/officeDocument/2006/relationships/hyperlink" Id="rId52" Target="http://www.circ.gov.cn/web/site0/tab5168/info3904713.htm" TargetMode="External" /><Relationship Type="http://schemas.openxmlformats.org/officeDocument/2006/relationships/hyperlink" Id="rId25" Target="http://www.csrc.gov.cn/pub/newsite/bgt/xwdd/201402/t20140217_243913.htm" TargetMode="External" /><Relationship Type="http://schemas.openxmlformats.org/officeDocument/2006/relationships/hyperlink" Id="rId69" Target="http://www.gov.cn/zwgk/2014-02/15/content_2602146.htm" TargetMode="External" /><Relationship Type="http://schemas.openxmlformats.org/officeDocument/2006/relationships/hyperlink" Id="rId39" Target="http://www.gov.cn/zwgk/2014-02/18/content_2611545.htm" TargetMode="External" /><Relationship Type="http://schemas.openxmlformats.org/officeDocument/2006/relationships/hyperlink" Id="rId75" Target="http://www.gov.cn/zwgk/2014-02/19/content_2612388.htm" TargetMode="External" /><Relationship Type="http://schemas.openxmlformats.org/officeDocument/2006/relationships/hyperlink" Id="rId81" Target="http://www.mlr.gov.cn/zwgk/zytz/201402/t20140220_1304242.htm" TargetMode="External" /><Relationship Type="http://schemas.openxmlformats.org/officeDocument/2006/relationships/hyperlink" Id="rId28" Target="http://www.mof.gov.cn/zhengwuxinxi/zhengcefabu/201402/t20140218_1044132.htm" TargetMode="External" /><Relationship Type="http://schemas.openxmlformats.org/officeDocument/2006/relationships/hyperlink" Id="rId84" Target="http://www.saic.gov.cn/zwgk/zyfb/zjwj/qyzcj/201402/t20140220_141962.html" TargetMode="External" /><Relationship Type="http://schemas.openxmlformats.org/officeDocument/2006/relationships/hyperlink" Id="rId72" Target="http://zhs.mof.gov.cn/zhengwuxinxi/zhengcefabu/201402/t20140217_1043763.html" TargetMode="External" /><Relationship Type="http://schemas.openxmlformats.org/officeDocument/2006/relationships/hyperlink" Id="rId78" Target="http://zhs.mof.gov.cn/zhengwuxinxi/zhengcefabu/201402/t20140219_1044459.html" TargetMode="External" /><Relationship Type="http://schemas.openxmlformats.org/officeDocument/2006/relationships/hyperlink" Id="rId8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79" Target="16.pdf" TargetMode="External" /><Relationship Type="http://schemas.openxmlformats.org/officeDocument/2006/relationships/hyperlink" Id="rId82" Target="17.pdf" TargetMode="External" /><Relationship Type="http://schemas.openxmlformats.org/officeDocument/2006/relationships/hyperlink" Id="rId85"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6" Target="6a.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59" Target="http://epaper.stcn.com/paper/zqsb/html/2014-02/17/content_546107.htm" TargetMode="External" /><Relationship Type="http://schemas.openxmlformats.org/officeDocument/2006/relationships/hyperlink" Id="rId56" Target="http://epaper.stcn.com/paper/zqsb/html/2014-02/17/content_546137.htm" TargetMode="External" /><Relationship Type="http://schemas.openxmlformats.org/officeDocument/2006/relationships/hyperlink" Id="rId43" Target="http://epaper.stcn.com/paper/zqsb/html/2014-02/18/content_546499.htm" TargetMode="External" /><Relationship Type="http://schemas.openxmlformats.org/officeDocument/2006/relationships/hyperlink" Id="rId34" Target="http://epaper.stcn.com/paper/zqsb/html/epaper/index/content_546884.htm" TargetMode="External" /><Relationship Type="http://schemas.openxmlformats.org/officeDocument/2006/relationships/hyperlink" Id="rId62" Target="http://epaper.stcn.com/paper/zqsb/html/epaper/index/content_547139.htm" TargetMode="External" /><Relationship Type="http://schemas.openxmlformats.org/officeDocument/2006/relationships/hyperlink" Id="rId65" Target="http://epaper.stcn.com/paper/zqsb/html/epaper/index/content_547140.htm" TargetMode="External" /><Relationship Type="http://schemas.openxmlformats.org/officeDocument/2006/relationships/hyperlink" Id="rId36" Target="http://shanghai.pbc.gov.cn/publish/fzh_shanghai/2974/2014/20140218171017682524099/20140218171017682524099_.html" TargetMode="External" /><Relationship Type="http://schemas.openxmlformats.org/officeDocument/2006/relationships/hyperlink" Id="rId31" Target="http://www.cbrc.gov.cn/chinese/home/docView/A5439B4FE6934D2E8926BFF3F9ECDD44.html" TargetMode="External" /><Relationship Type="http://schemas.openxmlformats.org/officeDocument/2006/relationships/hyperlink" Id="rId21" Target="http://www.charltonslaw.com.cn/china-news-alerts-cn-issue-394/" TargetMode="External" /><Relationship Type="http://schemas.openxmlformats.org/officeDocument/2006/relationships/hyperlink" Id="rId45" Target="http://www.chinatax.gov.cn/n2226/n2271/n2272/c653720/content.html" TargetMode="External" /><Relationship Type="http://schemas.openxmlformats.org/officeDocument/2006/relationships/hyperlink" Id="rId49" Target="http://www.circ.gov.cn/web/site0/tab5168/info3904709.htm" TargetMode="External" /><Relationship Type="http://schemas.openxmlformats.org/officeDocument/2006/relationships/hyperlink" Id="rId52" Target="http://www.circ.gov.cn/web/site0/tab5168/info3904713.htm" TargetMode="External" /><Relationship Type="http://schemas.openxmlformats.org/officeDocument/2006/relationships/hyperlink" Id="rId25" Target="http://www.csrc.gov.cn/pub/newsite/bgt/xwdd/201402/t20140217_243913.htm" TargetMode="External" /><Relationship Type="http://schemas.openxmlformats.org/officeDocument/2006/relationships/hyperlink" Id="rId69" Target="http://www.gov.cn/zwgk/2014-02/15/content_2602146.htm" TargetMode="External" /><Relationship Type="http://schemas.openxmlformats.org/officeDocument/2006/relationships/hyperlink" Id="rId39" Target="http://www.gov.cn/zwgk/2014-02/18/content_2611545.htm" TargetMode="External" /><Relationship Type="http://schemas.openxmlformats.org/officeDocument/2006/relationships/hyperlink" Id="rId75" Target="http://www.gov.cn/zwgk/2014-02/19/content_2612388.htm" TargetMode="External" /><Relationship Type="http://schemas.openxmlformats.org/officeDocument/2006/relationships/hyperlink" Id="rId81" Target="http://www.mlr.gov.cn/zwgk/zytz/201402/t20140220_1304242.htm" TargetMode="External" /><Relationship Type="http://schemas.openxmlformats.org/officeDocument/2006/relationships/hyperlink" Id="rId28" Target="http://www.mof.gov.cn/zhengwuxinxi/zhengcefabu/201402/t20140218_1044132.htm" TargetMode="External" /><Relationship Type="http://schemas.openxmlformats.org/officeDocument/2006/relationships/hyperlink" Id="rId84" Target="http://www.saic.gov.cn/zwgk/zyfb/zjwj/qyzcj/201402/t20140220_141962.html" TargetMode="External" /><Relationship Type="http://schemas.openxmlformats.org/officeDocument/2006/relationships/hyperlink" Id="rId72" Target="http://zhs.mof.gov.cn/zhengwuxinxi/zhengcefabu/201402/t20140217_1043763.html" TargetMode="External" /><Relationship Type="http://schemas.openxmlformats.org/officeDocument/2006/relationships/hyperlink" Id="rId78" Target="http://zhs.mof.gov.cn/zhengwuxinxi/zhengcefabu/201402/t20140219_1044459.html" TargetMode="External" /><Relationship Type="http://schemas.openxmlformats.org/officeDocument/2006/relationships/hyperlink" Id="rId8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第394期 - 2014年02月21日</dc:title>
  <dc:creator/>
</cp:coreProperties>
</file>