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第395期</w:t>
      </w:r>
      <w:r>
        <w:t xml:space="preserve"> </w:t>
      </w:r>
      <w:r>
        <w:t xml:space="preserve">-</w:t>
      </w:r>
      <w:r>
        <w:t xml:space="preserve"> </w:t>
      </w:r>
      <w:r>
        <w:t xml:space="preserve">2014年02月28日</w:t>
      </w:r>
    </w:p>
    <w:p>
      <w:hyperlink r:id="rId21">
        <w:r>
          <w:rPr>
            <w:rStyle w:val="Link"/>
          </w:rPr>
          <w:t xml:space="preserve">网络版</w:t>
        </w:r>
      </w:hyperlink>
    </w:p>
    <w:p>
      <w:pPr>
        <w:pStyle w:val="Heading1"/>
      </w:pPr>
      <w:bookmarkStart w:id="22" w:name="法讯中国第395期"/>
      <w:bookmarkEnd w:id="22"/>
      <w:r>
        <w:t xml:space="preserve">法讯中国第395期</w:t>
      </w:r>
    </w:p>
    <w:p>
      <w:pPr>
        <w:pStyle w:val="Heading2"/>
      </w:pPr>
      <w:bookmarkStart w:id="23" w:name="资本市场"/>
      <w:bookmarkEnd w:id="23"/>
      <w:r>
        <w:t xml:space="preserve">资本市场</w:t>
      </w:r>
    </w:p>
    <w:p>
      <w:pPr>
        <w:pStyle w:val="Heading3"/>
      </w:pPr>
      <w:bookmarkStart w:id="24" w:name="证券业协会发布两项规范要求证券公司加强风控管理"/>
      <w:bookmarkEnd w:id="24"/>
      <w:r>
        <w:t xml:space="preserve">证券业协会发布两项规范要求证券公司加强风控管理</w:t>
      </w:r>
    </w:p>
    <w:p>
      <w:r>
        <w:t xml:space="preserve">2月25日，中国证券业协会发布《证券公司全面风险管理规范》及《证券公司流动性风险管理指引》。</w:t>
      </w:r>
    </w:p>
    <w:p>
      <w:r>
        <w:t xml:space="preserve">其中，《证券公司全面风险管理规范》规定，证券公司应当指定或者任命一名高级管理人员负责全面风险管理工作。首席风险官不得兼任或者分管与其职责相冲突的职务或者部门。同时，证券公司应对首席风险官履职提供充分保障，保障首席风险官能够充分行使履行职责所必要的知情权。</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证监会取消券商专项投资业务"/>
      <w:bookmarkEnd w:id="27"/>
      <w:r>
        <w:t xml:space="preserve">证监会取消券商专项投资业务</w:t>
      </w:r>
    </w:p>
    <w:p>
      <w:r>
        <w:t xml:space="preserve">2月25日，中国证监会公告了三项被取消的行政审批项目，包括证券公司专项投资审批、证券公司借入次级债审批、境外期货业务持证企业年度外汇风险敞口核准。其中，证券公司专项投资审批被取消的原因为“取消该项业务，审批相应取消”，这意味着，券商专项投资业务被取消，以专项资管计划为载体的券商资产证券化业务将面临新的调整。</w:t>
      </w:r>
    </w:p>
    <w:p>
      <w:r>
        <w:t xml:space="preserve">这是证监会根据《国务院关于取消和下放一批行政审批项目的决定》 对现有业务梳理后，对行政审批项目进行的集中清理，按照规定，自1月28日起，以上3项行政审批项目已被取消，证监会及其派出机构不再受理当事人依据已取消行政审批项目提起的有关申请，与此同时，证监会将着手清理与被取消行政审批项目有关的部门规章和规范性文件，清理结果将对外公布。</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r>
        <w:t xml:space="preserve"> </w:t>
      </w:r>
      <w:hyperlink r:id="rId30">
        <w:r>
          <w:rPr>
            <w:rStyle w:val="Link"/>
          </w:rPr>
          <w:t xml:space="preserve">来源</w:t>
        </w:r>
      </w:hyperlink>
      <w:r>
        <w:t xml:space="preserve"> </w:t>
      </w:r>
      <w:r>
        <w:t xml:space="preserve">(</w:t>
      </w:r>
      <w:hyperlink r:id="rId31">
        <w:r>
          <w:rPr>
            <w:rStyle w:val="Link"/>
          </w:rPr>
          <w:t xml:space="preserve">副本</w:t>
        </w:r>
      </w:hyperlink>
      <w:r>
        <w:t xml:space="preserve">)</w:t>
      </w:r>
    </w:p>
    <w:p>
      <w:pPr>
        <w:pStyle w:val="Heading3"/>
      </w:pPr>
      <w:bookmarkStart w:id="32" w:name="最高人民法院修改并重新公布三个公司法相关司法解释"/>
      <w:bookmarkEnd w:id="32"/>
      <w:r>
        <w:t xml:space="preserve">最高人民法院修改并重新公布三个《公司法》相关司法解释</w:t>
      </w:r>
    </w:p>
    <w:p>
      <w:r>
        <w:t xml:space="preserve">2月20日，最高人民法院公布了《最高人民法院关于修改关于适用〈中华人民共和国公司法〉若干问题的规定的决定》（以下简称《决定》），自2014年3月1日起施行。</w:t>
      </w:r>
    </w:p>
    <w:p>
      <w:r>
        <w:t xml:space="preserve">《决定》共计十三项，主要内容为针对公司法条款序号的变化所作的相应调整。根据《决定》，公司成立后，公司、股东或者公司债权人以相关股东的行为符合下列情形之一且损害公司权益为由，请求认定该股东抽逃出资的，人民法院应予支持：（一）制作虚假财务会计报表虚增利润进行分配；（二）通过虚构债权债务关系将其出资转出；（三）利用关联交易将出资转出；（四）其他未经法定程序将出资抽回的行为。</w:t>
      </w:r>
    </w:p>
    <w:p>
      <w:hyperlink r:id="rId33">
        <w:r>
          <w:rPr>
            <w:rStyle w:val="Link"/>
          </w:rPr>
          <w:t xml:space="preserve">来源</w:t>
        </w:r>
      </w:hyperlink>
      <w:r>
        <w:t xml:space="preserve"> </w:t>
      </w:r>
      <w:r>
        <w:t xml:space="preserve">(</w:t>
      </w:r>
      <w:hyperlink r:id="rId34">
        <w:r>
          <w:rPr>
            <w:rStyle w:val="Link"/>
          </w:rPr>
          <w:t xml:space="preserve">副本</w:t>
        </w:r>
      </w:hyperlink>
      <w:r>
        <w:t xml:space="preserve">)</w:t>
      </w:r>
    </w:p>
    <w:p>
      <w:pPr>
        <w:pStyle w:val="Heading3"/>
      </w:pPr>
      <w:bookmarkStart w:id="35" w:name="上海自贸区放开小额外币存款利率"/>
      <w:bookmarkEnd w:id="35"/>
      <w:r>
        <w:t xml:space="preserve">上海自贸区放开小额外币存款利率</w:t>
      </w:r>
    </w:p>
    <w:p>
      <w:r>
        <w:t xml:space="preserve">2月26日，中国人民银行上海总部召开政策发布会，宣布从3月1日起放开中国（上海）自贸试验区小额外币存款利率上限。上限放开后，自贸试验区将在全国率先实现外币存款利率的完全市场化，在负债产品市场化定价上先走一步。</w:t>
      </w:r>
    </w:p>
    <w:p>
      <w:r>
        <w:t xml:space="preserve">为了稳步推进利率市场化改革，人民银行设计了缜密的推进路线图，确定了“先贷款后存款，先外币后本币”的四步走战略。在自贸试验区推进外币利率市场化改革试点工作，是四步走战略的关键一步。通过在自贸试验区有限范围内先行先试积累经验，测试市场，为下一步深入推进利率市场化改革打好坚实基础。</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2"/>
      </w:pPr>
      <w:bookmarkStart w:id="38" w:name="行业"/>
      <w:bookmarkEnd w:id="38"/>
      <w:r>
        <w:t xml:space="preserve">行业</w:t>
      </w:r>
    </w:p>
    <w:p>
      <w:pPr>
        <w:pStyle w:val="Heading3"/>
      </w:pPr>
      <w:bookmarkStart w:id="39" w:name="冶金等工贸行业小微企业安全生产标准化评定标准发布"/>
      <w:bookmarkEnd w:id="39"/>
      <w:r>
        <w:t xml:space="preserve">《冶金等工贸行业小微企业安全生产标准化评定标准》发布</w:t>
      </w:r>
    </w:p>
    <w:p>
      <w:r>
        <w:t xml:space="preserve">2月24日，国家安监局发布《关于印发冶金等工贸行业小微企业安全生产标准化评定标准的通知》。</w:t>
      </w:r>
    </w:p>
    <w:p>
      <w:r>
        <w:t xml:space="preserve">《通知》明确，安全生产评定标准共有11项考评类目及51条标准条款。适用于冶金、有色、建材、机械、轻工、纺织、烟草、商贸等行业小微企业开展安全生产标准化自评、申请、评审工作。</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安监总局要求加强非煤矿山外包工程安全管理"/>
      <w:bookmarkEnd w:id="42"/>
      <w:r>
        <w:t xml:space="preserve">安监总局要求加强非煤矿山外包工程安全管理</w:t>
      </w:r>
    </w:p>
    <w:p>
      <w:r>
        <w:t xml:space="preserve">安监总局网站2月26日消息，2月21日，国家安监局发布《关于加强非煤矿山外包工程安全管理工作的通知》。</w:t>
      </w:r>
    </w:p>
    <w:p>
      <w:r>
        <w:t xml:space="preserve">《通知》规定：发包单位要审查承包单位依法应当取得的非煤矿山安全生产许可证，以及承包单位与承揽工程相匹配的施工资质。在签订工程承包合同时，签订安全生产管理协议。承包地下矿山工程的，承包单位要严格执行领导带班下井制度，其项目部负责人不得同时兼任其他工程项目部负责人。</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民航局多措施促进低成本航空发展"/>
      <w:bookmarkEnd w:id="45"/>
      <w:r>
        <w:t xml:space="preserve">民航局多措施促进低成本航空发展</w:t>
      </w:r>
    </w:p>
    <w:p>
      <w:r>
        <w:t xml:space="preserve">民航局官网2月28日消息，近日，民航局印发了《民航局关于促进低成本航空发展的指导意见》，从坚持安全发展、促进快速壮大、支持灵活经营、鼓励走出去、改善基础环境、加大政策扶持六个方面提出多项政策保障措施。</w:t>
      </w:r>
    </w:p>
    <w:p>
      <w:r>
        <w:t xml:space="preserve">《意见》提出的具体措施包括：适当调高机队规划增速，支持发展较好、安全基础扎实的航空公司快速壮大；继续营造宽松的航线准入环境；改进航班时刻分配政策；进一步降低设立低成本航空公司及分、子公司门槛，简化审批手续；修订民航客、货运输规则，对部分服务标准不再作强制性规定，允许低成本航空适当简化服务；研究逐步放开特殊行李托运、快登机、选座等创新类收费项目的审批，支持低成本航空拓展差异化服务；研究制定低成本航站楼建设行业标准或建设指南；支持机场将老旧航站楼改造为低成本航站楼，或新建低成本航站楼；鼓励机场针对低成本航空运营需求建设完善相关配套设施，进一步简化旅客乘机流程。</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r>
        <w:t xml:space="preserve"> </w:t>
      </w:r>
      <w:hyperlink r:id="rId48">
        <w:r>
          <w:rPr>
            <w:rStyle w:val="Link"/>
          </w:rPr>
          <w:t xml:space="preserve">来源</w:t>
        </w:r>
      </w:hyperlink>
      <w:r>
        <w:t xml:space="preserve"> </w:t>
      </w:r>
      <w:r>
        <w:t xml:space="preserve">(</w:t>
      </w:r>
      <w:hyperlink r:id="rId49">
        <w:r>
          <w:rPr>
            <w:rStyle w:val="Link"/>
          </w:rPr>
          <w:t xml:space="preserve">副本</w:t>
        </w:r>
      </w:hyperlink>
      <w:r>
        <w:t xml:space="preserve">)</w:t>
      </w:r>
    </w:p>
    <w:p>
      <w:pPr>
        <w:pStyle w:val="Heading3"/>
      </w:pPr>
      <w:bookmarkStart w:id="50" w:name="农业部出台指导意见促进家庭农场发展"/>
      <w:bookmarkEnd w:id="50"/>
      <w:r>
        <w:t xml:space="preserve">农业部出台指导意见促进家庭农场发展</w:t>
      </w:r>
    </w:p>
    <w:p>
      <w:r>
        <w:t xml:space="preserve">2月24日，农业部官网发布《关于促进家庭农场发展的指导意见》（以下简称《意见》）。</w:t>
      </w:r>
    </w:p>
    <w:p>
      <w:r>
        <w:t xml:space="preserve">《意见》指出，农业部门要健全土地流转服务体系，为流转双方提供信息发布、政策咨询、价格评估、合同签订指导等便捷服务。同时，农业部门要引导和鼓励家庭农场经营者通过实物计租货币结算、租金动态调整、土地经营权入股保底分红等利益分配方式，稳定土地流转关系，形成适度的土地经营规模。</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并购"/>
      <w:bookmarkEnd w:id="53"/>
      <w:r>
        <w:t xml:space="preserve">并购</w:t>
      </w:r>
    </w:p>
    <w:p>
      <w:pPr>
        <w:pStyle w:val="Heading3"/>
      </w:pPr>
      <w:bookmarkStart w:id="54" w:name="中京电子2.8亿收购方正达"/>
      <w:bookmarkEnd w:id="54"/>
      <w:r>
        <w:t xml:space="preserve">中京电子2.8亿收购方正达</w:t>
      </w:r>
    </w:p>
    <w:p>
      <w:r>
        <w:t xml:space="preserve">2月24日，中京电子（002579）披露收购方案，拟以发行股份及现金结合的方式收购湖南方正达100%股权。</w:t>
      </w:r>
    </w:p>
    <w:p>
      <w:r>
        <w:t xml:space="preserve">中京电子拟向不超过10名其他特定投资者非公开发行股份募集配套资金，募集资金将用于支付现金对价款及中介费等款项，价格为7.95元/股，发行股份数量约1199万股，募集配套资金不超过9532.05万元。值得注意的是，中京电子的实际控制人杨林将成为此次配套募集资金发行股份的特定对象之一，将认购不超过发行股份的30%，约359.7万股。</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正和股份收购马腾石油获哈萨克斯坦批准"/>
      <w:bookmarkEnd w:id="57"/>
      <w:r>
        <w:t xml:space="preserve">正和股份收购马腾石油获哈萨克斯坦批准</w:t>
      </w:r>
    </w:p>
    <w:p>
      <w:r>
        <w:t xml:space="preserve">正和股份近日公告，中科荷兰能源集团有限公司收购哈萨克斯坦石油开发企业马腾石油股份有限公司95%股权一事，2014年2月19日获得哈萨克斯坦共和国竞争保护署（反垄断署）通过。</w:t>
      </w:r>
    </w:p>
    <w:p>
      <w:r>
        <w:t xml:space="preserve">马腾石油的主要资产是位于哈萨克斯坦滨里海盆地的三个在产油田区块，该区块所在的滨里海盆地，是国际公认的油气富集而勘探开发程度较低的区域之一。</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拜耳收购滇虹药业进军中药"/>
      <w:bookmarkEnd w:id="60"/>
      <w:r>
        <w:t xml:space="preserve">拜耳收购滇虹药业进军中药</w:t>
      </w:r>
    </w:p>
    <w:p>
      <w:r>
        <w:t xml:space="preserve">拜耳2月27日宣布，拟收购云南滇虹药业集团公司的所有股份。该公司主要生产非处方药物（OTC）和传统中草药产品（TCM）。作为中国非处方药物领域的佼佼者，滇虹药业推产品为：治头屑和其它头皮疾病的康王洗剂、主打抗真菌乳膏皮康王，以及治疗各类妇科疾病的中药丹莪妇康煎膏。但收购价及其他财务细节目前暂未公开，待并购审查等相关审批通过，将预计在2014年下半年完成此并购交易。</w:t>
      </w:r>
    </w:p>
    <w:p>
      <w:r>
        <w:t xml:space="preserve">根据拜耳此次披露的数据，滇虹药业2013年的销售额为1.23亿欧元，其产品在其他国家如尼日利亚、越南、缅甸和柬埔寨等都有销售。对于此次收购金额，有业内人士称为36亿元，但该金额未获交易双方证实。此外，有知情人士对记者表示，受此次收购影响管理层人事已有所变动，春节后滇虹药业主管某方面的一位老总已经从公司离职。</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2"/>
      </w:pPr>
      <w:bookmarkStart w:id="63" w:name="其他"/>
      <w:bookmarkEnd w:id="63"/>
      <w:r>
        <w:t xml:space="preserve">其他</w:t>
      </w:r>
    </w:p>
    <w:p>
      <w:pPr>
        <w:pStyle w:val="Heading3"/>
      </w:pPr>
      <w:bookmarkStart w:id="64" w:name="前海发布改革要点-促粤港澳贸易自由化"/>
      <w:bookmarkEnd w:id="64"/>
      <w:r>
        <w:t xml:space="preserve">前海发布改革要点 促粤港澳贸易自由化</w:t>
      </w:r>
    </w:p>
    <w:p>
      <w:r>
        <w:t xml:space="preserve">2月27日，深圳前海管理局举行前海改革要点媒体见面会，发布了《前海深港现代服务业合作区2014年改革创新工作要点》，46条改革创新工作要点共分五大项，包括构建开放安全高效的区域金融体系、推动粤港澳服务贸易自由化、建设社会主义法治示范区、建设全国人才管理改革试验区和强力突破若干瓶颈问题。</w:t>
      </w:r>
    </w:p>
    <w:p>
      <w:r>
        <w:t xml:space="preserve">在构建开放、安全、高效的区域金融体系方面，主要包含金融创新载体、跨境金融业务、自由贸易账户体系、贸易投资跨境收付便利化、国际贸易结算中心、跨境电商离岸人民币贸易款回流、少量外资成分私募股权基金、互联网金融、新型保险机构、金融协同监管十个方面的内容。</w:t>
      </w:r>
    </w:p>
    <w:p>
      <w:r>
        <w:t xml:space="preserve">要推动粤港澳服务贸易自由化，主要包含深港联合工作组、外商投资管理、跨境贸易、融资租赁与商业保理、跨境航运服务、深港青年创业、港籍员工社保、跨境基础电信八个方面的内容。</w:t>
      </w:r>
    </w:p>
    <w:p>
      <w:hyperlink r:id="rId65">
        <w:r>
          <w:rPr>
            <w:rStyle w:val="Link"/>
          </w:rPr>
          <w:t xml:space="preserve">来源</w:t>
        </w:r>
      </w:hyperlink>
      <w:r>
        <w:t xml:space="preserve"> </w:t>
      </w:r>
      <w:r>
        <w:t xml:space="preserve">(</w:t>
      </w:r>
      <w:hyperlink r:id="rId66">
        <w:r>
          <w:rPr>
            <w:rStyle w:val="Link"/>
          </w:rPr>
          <w:t xml:space="preserve">副本</w:t>
        </w:r>
      </w:hyperlink>
      <w:r>
        <w:t xml:space="preserve">)</w:t>
      </w:r>
    </w:p>
    <w:p>
      <w:pPr>
        <w:pStyle w:val="Heading3"/>
      </w:pPr>
      <w:bookmarkStart w:id="67" w:name="中国上海自由贸易试验区商业保理业务管理暂行办法出台"/>
      <w:bookmarkEnd w:id="67"/>
      <w:r>
        <w:t xml:space="preserve">《中国（上海）自由贸易试验区商业保理业务管理暂行办法》出台</w:t>
      </w:r>
    </w:p>
    <w:p>
      <w:r>
        <w:t xml:space="preserve">近日，上海自贸区管委会公布了《中国（上海）自由贸易试验区商业保理业务管理暂行办法》（以下简称《办法》）。</w:t>
      </w:r>
    </w:p>
    <w:p>
      <w:r>
        <w:t xml:space="preserve">《办法》所称的商业保理业务是指供应商与保理商通过签订保理协议，供应商将现在或将来的应收账款转让给保理商，从而获取融资，或获得保理商提供的分户账管理、账款催收、坏账担保等服务。此外，商业保理业务是指非银行机构从事的保理业务。</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国务院建立统一的城乡居民基本养老保险制度"/>
      <w:bookmarkEnd w:id="70"/>
      <w:r>
        <w:t xml:space="preserve">国务院：建立统一的城乡居民基本养老保险制度</w:t>
      </w:r>
    </w:p>
    <w:p>
      <w:r>
        <w:t xml:space="preserve">中央政府门户网站2月26日消息，2月21日，国务院发布《关于建立统一的城乡居民基本养老保险制度的意见》（以下简称《意见》）。</w:t>
      </w:r>
    </w:p>
    <w:p>
      <w:r>
        <w:t xml:space="preserve">《意见》明确，年满16周岁（不含在校学生），非国家机关和事业单位工作人员及不属于职工基本养老保险制度覆盖范围的城乡居民，可以在户籍地参加城乡居民养老保险。《意见》指出，城乡居民养老保险待遇由基础养老金和个人账户养老金构成，支付终身。参加城乡居民养老保险的个人，年满60周岁、累计缴费满15年，且未领取国家规定的基本养老保障待遇的，可以按月领取城乡居民养老保险待遇。</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国务院公布社会救助暂行办法"/>
      <w:bookmarkEnd w:id="73"/>
      <w:r>
        <w:t xml:space="preserve">国务院公布《社会救助暂行办法》</w:t>
      </w:r>
    </w:p>
    <w:p>
      <w:r>
        <w:t xml:space="preserve">中央政府门户网站2月27日消息，2月21日，国务院公布《社会救助暂行办法》（以下简称《办法》），《办法》自2014年5月1日起施行。</w:t>
      </w:r>
    </w:p>
    <w:p>
      <w:r>
        <w:t xml:space="preserve">《办法》共13章，共计70条，内容涉及最低生活保障、特困人员供养、受灾人员救助、 医疗救助、教育救助、住房救助、就业救助、临时救助等八个方面。《办法》规定，国家鼓励单位和个人等社会力量通过捐赠、设立帮扶项目、创办服务机构、提供志愿服务等方式，参与社会救助。</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6">
        <w:r>
          <w:rPr>
            <w:rStyle w:val="Link"/>
          </w:rPr>
          <w:t xml:space="preserve">unsubscribe@charltonslaw.com</w:t>
        </w:r>
      </w:hyperlink>
    </w:p>
    <w:p>
      <w:r>
        <w:rPr>
          <w:b/>
        </w:rPr>
        <w:t xml:space="preserve">易周律师行 - 法讯 - 中国 - 第395期 - 2014年02月28日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2295f49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2" Target="11.pdf" TargetMode="External" /><Relationship Type="http://schemas.openxmlformats.org/officeDocument/2006/relationships/hyperlink" Id="rId66" Target="12.pdf" TargetMode="External" /><Relationship Type="http://schemas.openxmlformats.org/officeDocument/2006/relationships/hyperlink" Id="rId69" Target="13.pdf" TargetMode="External" /><Relationship Type="http://schemas.openxmlformats.org/officeDocument/2006/relationships/hyperlink" Id="rId72" Target="14.pdf" TargetMode="External" /><Relationship Type="http://schemas.openxmlformats.org/officeDocument/2006/relationships/hyperlink" Id="rId75" Target="15.pdf" TargetMode="External" /><Relationship Type="http://schemas.openxmlformats.org/officeDocument/2006/relationships/hyperlink" Id="rId29" Target="2.pdf" TargetMode="External" /><Relationship Type="http://schemas.openxmlformats.org/officeDocument/2006/relationships/hyperlink" Id="rId31" Target="2a.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49" Target="7a.pdf" TargetMode="External" /><Relationship Type="http://schemas.openxmlformats.org/officeDocument/2006/relationships/hyperlink" Id="rId52" Target="8.pdf" TargetMode="External" /><Relationship Type="http://schemas.openxmlformats.org/officeDocument/2006/relationships/hyperlink" Id="rId56" Target="9.pdf" TargetMode="External" /><Relationship Type="http://schemas.openxmlformats.org/officeDocument/2006/relationships/hyperlink" Id="rId55" Target="http://epaper.stcn.com/paper/zqsb/html/epaper/index/content_547610.htm" TargetMode="External" /><Relationship Type="http://schemas.openxmlformats.org/officeDocument/2006/relationships/hyperlink" Id="rId58" Target="http://epaper.stcn.com/paper/zqsb/html/epaper/index/content_547611.htm" TargetMode="External" /><Relationship Type="http://schemas.openxmlformats.org/officeDocument/2006/relationships/hyperlink" Id="rId30" Target="http://epaper.stcn.com/paper/zqsb/html/epaper/index/content_548310.htm" TargetMode="External" /><Relationship Type="http://schemas.openxmlformats.org/officeDocument/2006/relationships/hyperlink" Id="rId36" Target="http://epaper.stcn.com/paper/zqsb/html/epaper/index/content_548781.htm" TargetMode="External" /><Relationship Type="http://schemas.openxmlformats.org/officeDocument/2006/relationships/hyperlink" Id="rId61" Target="http://epaper.stcn.com/paper/zqsb/html/epaper/index/content_549444.htm" TargetMode="External" /><Relationship Type="http://schemas.openxmlformats.org/officeDocument/2006/relationships/hyperlink" Id="rId65" Target="http://epaper.stcn.com/paper/zqsb/html/epaper/index/content_549454.htm" TargetMode="External" /><Relationship Type="http://schemas.openxmlformats.org/officeDocument/2006/relationships/hyperlink" Id="rId48" Target="http://epaper.stcn.com/paper/zqsb/html/epaper/index/content_549456.htm" TargetMode="External" /><Relationship Type="http://schemas.openxmlformats.org/officeDocument/2006/relationships/hyperlink" Id="rId33" Target="http://rmfyb.chinacourt.org/paper/html/2014-02/25/content_77281.htm?div=-1" TargetMode="External" /><Relationship Type="http://schemas.openxmlformats.org/officeDocument/2006/relationships/hyperlink" Id="rId46" Target="http://www.caac.gov.cn/A1/201402/t20140228_62392.html" TargetMode="External" /><Relationship Type="http://schemas.openxmlformats.org/officeDocument/2006/relationships/hyperlink" Id="rId21" Target="http://www.charltonslaw.com.cn/china-news-alerts-cn-issue-395/" TargetMode="External" /><Relationship Type="http://schemas.openxmlformats.org/officeDocument/2006/relationships/hyperlink" Id="rId40" Target="http://www.chinasafety.gov.cn/newpage/Contents/Channel_6288/2014/0226/230452/content_230452.htm" TargetMode="External" /><Relationship Type="http://schemas.openxmlformats.org/officeDocument/2006/relationships/hyperlink" Id="rId43" Target="http://www.chinasafety.gov.cn/newpage/Contents/Channel_6288/2014/0226/230460/content_230460.htm" TargetMode="External" /><Relationship Type="http://schemas.openxmlformats.org/officeDocument/2006/relationships/hyperlink" Id="rId28" Target="http://www.csrc.gov.cn/pub/newsite/bgt/xwdd/201402/t20140225_244259.htm" TargetMode="External" /><Relationship Type="http://schemas.openxmlformats.org/officeDocument/2006/relationships/hyperlink" Id="rId71" Target="http://www.gov.cn/zwgk/2014-02/26/content_2621907.htm" TargetMode="External" /><Relationship Type="http://schemas.openxmlformats.org/officeDocument/2006/relationships/hyperlink" Id="rId74" Target="http://www.gov.cn/zwgk/2014-02/27/content_2622770.htm" TargetMode="External" /><Relationship Type="http://schemas.openxmlformats.org/officeDocument/2006/relationships/hyperlink" Id="rId51" Target="http://www.moa.gov.cn/govpublic/NCJJTZ/201402/t20140226_3797119.htm" TargetMode="External" /><Relationship Type="http://schemas.openxmlformats.org/officeDocument/2006/relationships/hyperlink" Id="rId25" Target="http://www.sac.net.cn/tzgg/201402/t20140225_83654.html" TargetMode="External" /><Relationship Type="http://schemas.openxmlformats.org/officeDocument/2006/relationships/hyperlink" Id="rId68" Target="http://www.shftz.gov.cn/WebViewPublic/item_page.aspx?newsid=635285910560752000&amp;coltype=7" TargetMode="External" /><Relationship Type="http://schemas.openxmlformats.org/officeDocument/2006/relationships/hyperlink" Id="rId7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9" Target="10.pdf" TargetMode="External" /><Relationship Type="http://schemas.openxmlformats.org/officeDocument/2006/relationships/hyperlink" Id="rId62" Target="11.pdf" TargetMode="External" /><Relationship Type="http://schemas.openxmlformats.org/officeDocument/2006/relationships/hyperlink" Id="rId66" Target="12.pdf" TargetMode="External" /><Relationship Type="http://schemas.openxmlformats.org/officeDocument/2006/relationships/hyperlink" Id="rId69" Target="13.pdf" TargetMode="External" /><Relationship Type="http://schemas.openxmlformats.org/officeDocument/2006/relationships/hyperlink" Id="rId72" Target="14.pdf" TargetMode="External" /><Relationship Type="http://schemas.openxmlformats.org/officeDocument/2006/relationships/hyperlink" Id="rId75" Target="15.pdf" TargetMode="External" /><Relationship Type="http://schemas.openxmlformats.org/officeDocument/2006/relationships/hyperlink" Id="rId29" Target="2.pdf" TargetMode="External" /><Relationship Type="http://schemas.openxmlformats.org/officeDocument/2006/relationships/hyperlink" Id="rId31" Target="2a.pdf" TargetMode="External" /><Relationship Type="http://schemas.openxmlformats.org/officeDocument/2006/relationships/hyperlink" Id="rId34" Target="3.pdf" TargetMode="External" /><Relationship Type="http://schemas.openxmlformats.org/officeDocument/2006/relationships/hyperlink" Id="rId37" Target="4.pdf" TargetMode="External" /><Relationship Type="http://schemas.openxmlformats.org/officeDocument/2006/relationships/hyperlink" Id="rId41" Target="5.pdf" TargetMode="External" /><Relationship Type="http://schemas.openxmlformats.org/officeDocument/2006/relationships/hyperlink" Id="rId44" Target="6.pdf" TargetMode="External" /><Relationship Type="http://schemas.openxmlformats.org/officeDocument/2006/relationships/hyperlink" Id="rId47" Target="7.pdf" TargetMode="External" /><Relationship Type="http://schemas.openxmlformats.org/officeDocument/2006/relationships/hyperlink" Id="rId49" Target="7a.pdf" TargetMode="External" /><Relationship Type="http://schemas.openxmlformats.org/officeDocument/2006/relationships/hyperlink" Id="rId52" Target="8.pdf" TargetMode="External" /><Relationship Type="http://schemas.openxmlformats.org/officeDocument/2006/relationships/hyperlink" Id="rId56" Target="9.pdf" TargetMode="External" /><Relationship Type="http://schemas.openxmlformats.org/officeDocument/2006/relationships/hyperlink" Id="rId55" Target="http://epaper.stcn.com/paper/zqsb/html/epaper/index/content_547610.htm" TargetMode="External" /><Relationship Type="http://schemas.openxmlformats.org/officeDocument/2006/relationships/hyperlink" Id="rId58" Target="http://epaper.stcn.com/paper/zqsb/html/epaper/index/content_547611.htm" TargetMode="External" /><Relationship Type="http://schemas.openxmlformats.org/officeDocument/2006/relationships/hyperlink" Id="rId30" Target="http://epaper.stcn.com/paper/zqsb/html/epaper/index/content_548310.htm" TargetMode="External" /><Relationship Type="http://schemas.openxmlformats.org/officeDocument/2006/relationships/hyperlink" Id="rId36" Target="http://epaper.stcn.com/paper/zqsb/html/epaper/index/content_548781.htm" TargetMode="External" /><Relationship Type="http://schemas.openxmlformats.org/officeDocument/2006/relationships/hyperlink" Id="rId61" Target="http://epaper.stcn.com/paper/zqsb/html/epaper/index/content_549444.htm" TargetMode="External" /><Relationship Type="http://schemas.openxmlformats.org/officeDocument/2006/relationships/hyperlink" Id="rId65" Target="http://epaper.stcn.com/paper/zqsb/html/epaper/index/content_549454.htm" TargetMode="External" /><Relationship Type="http://schemas.openxmlformats.org/officeDocument/2006/relationships/hyperlink" Id="rId48" Target="http://epaper.stcn.com/paper/zqsb/html/epaper/index/content_549456.htm" TargetMode="External" /><Relationship Type="http://schemas.openxmlformats.org/officeDocument/2006/relationships/hyperlink" Id="rId33" Target="http://rmfyb.chinacourt.org/paper/html/2014-02/25/content_77281.htm?div=-1" TargetMode="External" /><Relationship Type="http://schemas.openxmlformats.org/officeDocument/2006/relationships/hyperlink" Id="rId46" Target="http://www.caac.gov.cn/A1/201402/t20140228_62392.html" TargetMode="External" /><Relationship Type="http://schemas.openxmlformats.org/officeDocument/2006/relationships/hyperlink" Id="rId21" Target="http://www.charltonslaw.com.cn/china-news-alerts-cn-issue-395/" TargetMode="External" /><Relationship Type="http://schemas.openxmlformats.org/officeDocument/2006/relationships/hyperlink" Id="rId40" Target="http://www.chinasafety.gov.cn/newpage/Contents/Channel_6288/2014/0226/230452/content_230452.htm" TargetMode="External" /><Relationship Type="http://schemas.openxmlformats.org/officeDocument/2006/relationships/hyperlink" Id="rId43" Target="http://www.chinasafety.gov.cn/newpage/Contents/Channel_6288/2014/0226/230460/content_230460.htm" TargetMode="External" /><Relationship Type="http://schemas.openxmlformats.org/officeDocument/2006/relationships/hyperlink" Id="rId28" Target="http://www.csrc.gov.cn/pub/newsite/bgt/xwdd/201402/t20140225_244259.htm" TargetMode="External" /><Relationship Type="http://schemas.openxmlformats.org/officeDocument/2006/relationships/hyperlink" Id="rId71" Target="http://www.gov.cn/zwgk/2014-02/26/content_2621907.htm" TargetMode="External" /><Relationship Type="http://schemas.openxmlformats.org/officeDocument/2006/relationships/hyperlink" Id="rId74" Target="http://www.gov.cn/zwgk/2014-02/27/content_2622770.htm" TargetMode="External" /><Relationship Type="http://schemas.openxmlformats.org/officeDocument/2006/relationships/hyperlink" Id="rId51" Target="http://www.moa.gov.cn/govpublic/NCJJTZ/201402/t20140226_3797119.htm" TargetMode="External" /><Relationship Type="http://schemas.openxmlformats.org/officeDocument/2006/relationships/hyperlink" Id="rId25" Target="http://www.sac.net.cn/tzgg/201402/t20140225_83654.html" TargetMode="External" /><Relationship Type="http://schemas.openxmlformats.org/officeDocument/2006/relationships/hyperlink" Id="rId68" Target="http://www.shftz.gov.cn/WebViewPublic/item_page.aspx?newsid=635285910560752000&amp;coltype=7" TargetMode="External" /><Relationship Type="http://schemas.openxmlformats.org/officeDocument/2006/relationships/hyperlink" Id="rId7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第395期 - 2014年02月28日</dc:title>
  <dc:creator/>
</cp:coreProperties>
</file>