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第396期</w:t>
      </w:r>
      <w:r>
        <w:t xml:space="preserve"> </w:t>
      </w:r>
      <w:r>
        <w:t xml:space="preserve">-</w:t>
      </w:r>
      <w:r>
        <w:t xml:space="preserve"> </w:t>
      </w:r>
      <w:r>
        <w:t xml:space="preserve">2014年03月07日</w:t>
      </w:r>
    </w:p>
    <w:p>
      <w:hyperlink r:id="rId21">
        <w:r>
          <w:rPr>
            <w:rStyle w:val="Link"/>
          </w:rPr>
          <w:t xml:space="preserve">网络版</w:t>
        </w:r>
      </w:hyperlink>
    </w:p>
    <w:p>
      <w:pPr>
        <w:pStyle w:val="Heading1"/>
      </w:pPr>
      <w:bookmarkStart w:id="22" w:name="法讯中国第396期"/>
      <w:bookmarkEnd w:id="22"/>
      <w:r>
        <w:t xml:space="preserve">法讯中国第396期</w:t>
      </w:r>
    </w:p>
    <w:p>
      <w:pPr>
        <w:pStyle w:val="Heading2"/>
      </w:pPr>
      <w:bookmarkStart w:id="23" w:name="资本市场"/>
      <w:bookmarkEnd w:id="23"/>
      <w:r>
        <w:t xml:space="preserve">资本市场</w:t>
      </w:r>
    </w:p>
    <w:p>
      <w:pPr>
        <w:pStyle w:val="Heading3"/>
      </w:pPr>
      <w:bookmarkStart w:id="24" w:name="工商总局发布公司注册资本登记管理规定"/>
      <w:bookmarkEnd w:id="24"/>
      <w:r>
        <w:t xml:space="preserve">工商总局发布《公司注册资本登记管理规定》</w:t>
      </w:r>
    </w:p>
    <w:p>
      <w:r>
        <w:t xml:space="preserve">近日，国家工商行政管理总局发布《公司注册资本登记管理规定》（以下简称《规定》），《规定》自2014年3月1日起施行。</w:t>
      </w:r>
    </w:p>
    <w:p>
      <w:r>
        <w:t xml:space="preserve">《规定》明确，股东或者发起人可以用货币出资，也可以用实物、知识产权、土地使用权等可以用货币估价并可以依法转让的非货币财产作价出资。股东或者发起人不得以劳务、信用、自然人姓名、商誉、特许经营权或者设定担保的财产等作价出资。</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工商总局修改外商投资合伙企业登记管理规定等四部规章"/>
      <w:bookmarkEnd w:id="27"/>
      <w:r>
        <w:t xml:space="preserve">工商总局修改《外商投资合伙企业登记管理规定》等四部规章</w:t>
      </w:r>
    </w:p>
    <w:p>
      <w:r>
        <w:t xml:space="preserve">近日，国家工商行政管理总局发布《关于修改〈中华人民共和国企业法人登记管理条例施行细则〉、〈外商投资合伙企业登记管理规定〉、〈个人独资企业登记管理办法〉、〈个体工商户登记管理办法〉等规章的决定》（以下简称《决定》），《决定》自3月1日起施行。</w:t>
      </w:r>
    </w:p>
    <w:p>
      <w:r>
        <w:t xml:space="preserve">其中，修改后的《外商投资合伙企业登记管理规定》规定，外商投资合伙企业应当于每年1月1日至6月30日，通过企业信用信息公示系统向企业登记机关报送上一年度年度报告，并向社会公示。</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两部委联合印发2014年储蓄国债发行额度管理办法"/>
      <w:bookmarkEnd w:id="30"/>
      <w:r>
        <w:t xml:space="preserve">两部委联合印发《2014年储蓄国债发行额度管理办法》</w:t>
      </w:r>
    </w:p>
    <w:p>
      <w:r>
        <w:t xml:space="preserve">财政部官网3月4日消息，2月27日，财政部、中国人民银行联合印发了《2014年储蓄国债发行额度管理办法》（以下简称《办法》）。</w:t>
      </w:r>
    </w:p>
    <w:p>
      <w:r>
        <w:t xml:space="preserve">《办法》适用于2014年储蓄国债（电子式）和凭证式国债发行额度分配管理，国债发行通知另有规定的除外。此外，根据《办法》，财政部将会同中国人民银行以半年为周期，分别调整各承销团成员储蓄国债（电子式）基本代销额度比例和凭证式国债代销额度比例。</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银监会下发关于做好2014年农村金融服务工作的通知"/>
      <w:bookmarkEnd w:id="33"/>
      <w:r>
        <w:t xml:space="preserve">银监会下发《关于做好2014年农村金融服务工作的通知》</w:t>
      </w:r>
    </w:p>
    <w:p>
      <w:r>
        <w:t xml:space="preserve">银监会网站3月6日消息，近日，银监会下发《关于做好2014年农村金融服务工作的通知》，鼓励社会资本投资入股农村商业银行和村镇银行。</w:t>
      </w:r>
    </w:p>
    <w:p>
      <w:r>
        <w:t xml:space="preserve">《通知》称，要稳步推进农村信用社产权改革。在总体保持县域法人地位稳定、维护体系完整的前提下，积极稳妥组建农村商业银行，培育合格的市场主体。鼓励社会资本投资入股，提升民间资本股比。</w:t>
      </w:r>
    </w:p>
    <w:p>
      <w:r>
        <w:t xml:space="preserve">《通知》明确，加快处置高风险机构即从监管角度看评级不高的农村信用社的改造，主要通过政府支持、吸收社会民营资本、引入战略投资者等。</w:t>
      </w:r>
    </w:p>
    <w:p>
      <w:r>
        <w:t xml:space="preserve">《通知》中规定，进一步提高民间资本的参与度，需要坚持股东本土化和股权多元化，坚持经营的专业化和服务的差异化、特色化，按照有利于强化社区金融服务、有利于防范金融风险、有利于完善法人治理原则，有限引入当地优质企业和种养大户投资入股，科学调整主发起行与其他股东的持股比例。</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2"/>
      </w:pPr>
      <w:bookmarkStart w:id="36" w:name="行业"/>
      <w:bookmarkEnd w:id="36"/>
      <w:r>
        <w:t xml:space="preserve">行业</w:t>
      </w:r>
    </w:p>
    <w:p>
      <w:pPr>
        <w:pStyle w:val="Heading3"/>
      </w:pPr>
      <w:bookmarkStart w:id="37" w:name="商务部发布机电产品国际招标投标实施办法试行"/>
      <w:bookmarkEnd w:id="37"/>
      <w:r>
        <w:t xml:space="preserve">商务部发布《机电产品国际招标投标实施办法（试行）》</w:t>
      </w:r>
    </w:p>
    <w:p>
      <w:r>
        <w:t xml:space="preserve">商务部官网3月3日消息，2月21日，商务部发布《机电产品国际招标投标实施办法（试行）》（以下简称《办法》），《办法》自2014年4月1日起施行。</w:t>
      </w:r>
    </w:p>
    <w:p>
      <w:r>
        <w:t xml:space="preserve">《办法》明确了通过招标方式采购原产地为中国关境外的机电产品必须进行国际招标的情形。《办法》规定，已经明确采购产品的原产地在中国关境内的，可以不进行国际招标。必须通过国际招标方式采购的，任何单位和个人不得将采购项目化整为零或者以国内招标等其他任何方式规避国际招标。</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2"/>
      </w:pPr>
      <w:bookmarkStart w:id="40" w:name="税收"/>
      <w:bookmarkEnd w:id="40"/>
      <w:r>
        <w:t xml:space="preserve">税收</w:t>
      </w:r>
    </w:p>
    <w:p>
      <w:pPr>
        <w:pStyle w:val="Heading3"/>
      </w:pPr>
      <w:bookmarkStart w:id="41" w:name="中国将对电信运营商征增值税"/>
      <w:bookmarkEnd w:id="41"/>
      <w:r>
        <w:t xml:space="preserve">中国将对电信运营商征增值税</w:t>
      </w:r>
    </w:p>
    <w:p>
      <w:r>
        <w:t xml:space="preserve">中国国务院总理李克强在全国人大会议上所作的政府工作报告中说，中国政府将对电信服务征收增值税，以取代现行的营业税。美国《华尔街日报》3月6日刊文称，中国电信运营商可能很快感受到新税制之痛，这是中国对主要产业及其税收制度进行改革的一部分。</w:t>
      </w:r>
    </w:p>
    <w:p>
      <w:r>
        <w:t xml:space="preserve">中国有逾12亿移动用户，是全球最大的移动市场。中国利润丰厚的电信市场一直以来都被中国移动、中国联通和中国电信三大国有运营商所主导。但随着中国政府在经济改革的过程中大力促进来自民营领域的竞争以及保护消费者权益，这些大型运营商现在面临着更多的挑战。</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2"/>
      </w:pPr>
      <w:bookmarkStart w:id="44" w:name="保险"/>
      <w:bookmarkEnd w:id="44"/>
      <w:r>
        <w:t xml:space="preserve">保险</w:t>
      </w:r>
    </w:p>
    <w:p>
      <w:pPr>
        <w:pStyle w:val="Heading3"/>
      </w:pPr>
      <w:bookmarkStart w:id="45" w:name="保监会修改中国保险监督管理委员会行政许可实施办法"/>
      <w:bookmarkEnd w:id="45"/>
      <w:r>
        <w:t xml:space="preserve">保监会修改《中国保险监督管理委员会行政许可实施办法》</w:t>
      </w:r>
    </w:p>
    <w:p>
      <w:r>
        <w:t xml:space="preserve">保监会官网3月4日消息，近日，中国保监会修改并发布《中国保险监督管理委员会行政许可实施办法》（以下简称《办法》）。</w:t>
      </w:r>
    </w:p>
    <w:p>
      <w:r>
        <w:t xml:space="preserve">根据修改后的《办法》，中国保监会或者派出机构作出准予行政许可决定，需要颁发保险许可证件的，应当按照相关规定向申请人颁发保险许可证件。</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3"/>
      </w:pPr>
      <w:bookmarkStart w:id="48" w:name="保监会印发保险公司声誉风险管理指引"/>
      <w:bookmarkEnd w:id="48"/>
      <w:r>
        <w:t xml:space="preserve">保监会印发《保险公司声誉风险管理指引》</w:t>
      </w:r>
    </w:p>
    <w:p>
      <w:r>
        <w:t xml:space="preserve">保监会官网3月4日消息，近日，中国保监会印发《保险公司声誉风险管理指引》（以下简称《指引》）。</w:t>
      </w:r>
    </w:p>
    <w:p>
      <w:r>
        <w:t xml:space="preserve">《指引》共7章，计33条。《指引》规定，保险公司应建立统一管理的采访接待和信息披露机制，做好媒体服务和公共关系工作，避免造成公众误解和媒体误读，引发声誉风险。同时，保险公司应建立与投诉处理联动的声誉风险防范机制，及时回应和解决客户合理诉求，防止客户投诉处理不当引发声誉风险。</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2"/>
      </w:pPr>
      <w:bookmarkStart w:id="51" w:name="并购"/>
      <w:bookmarkEnd w:id="51"/>
      <w:r>
        <w:t xml:space="preserve">并购</w:t>
      </w:r>
    </w:p>
    <w:p>
      <w:pPr>
        <w:pStyle w:val="Heading3"/>
      </w:pPr>
      <w:bookmarkStart w:id="52" w:name="两大股东力挺实达集团收购铝铁矿"/>
      <w:bookmarkEnd w:id="52"/>
      <w:r>
        <w:t xml:space="preserve">两大股东力挺实达集团收购铝铁矿</w:t>
      </w:r>
    </w:p>
    <w:p>
      <w:r>
        <w:t xml:space="preserve">实达集团3月1日发布公告，拟非公开发行方式发行股票不超过1.41亿股，募集约6亿元，用以收购云峰铝铁矿100%股权，以及后续矿区勘探、扩能技改及偿还债务并补充流动资金。</w:t>
      </w:r>
    </w:p>
    <w:p>
      <w:r>
        <w:t xml:space="preserve">其中，收购云峰铝铁矿股权预估值约2.6亿元。实达集团前两大股东北京昂展和福建电子信息集团力挺公司在矿业领域的业务拓展，分别认购本次非公开发行总股数的约75%和6%。公司股票3月3日复牌。</w:t>
      </w:r>
    </w:p>
    <w:p>
      <w:r>
        <w:t xml:space="preserve">公告显示，实达集团本次非公开发行股票的发行价格为4.27元/股。特定三家发行对象实达集团控股股东北京昂展全资子公司北京百善仁和、福建电子信息集团和贵州中色科金，认购股数分别为1.06亿、0.08亿、0.26亿股，对应认购金额约为4.52亿元、0.35亿元、1.13亿元。本次发行完成后，公司控股股东北京昂展直接和间接持股比例将从22.22%上升至37.36%。</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3"/>
      </w:pPr>
      <w:bookmarkStart w:id="55" w:name="鑫科材料1.2亿元购锂电资产"/>
      <w:bookmarkEnd w:id="55"/>
      <w:r>
        <w:t xml:space="preserve">鑫科材料1.2亿元购锂电资产</w:t>
      </w:r>
    </w:p>
    <w:p>
      <w:r>
        <w:t xml:space="preserve">鑫科材料3月6日公告，拟出资1.2亿元收购广州唐寥商务服务有限公司持有的天津力神电池股份有限公司2000万股股权，占天津力神总股本的1.6%。</w:t>
      </w:r>
    </w:p>
    <w:p>
      <w:r>
        <w:t xml:space="preserve">天津力神电池股份有限公司是国内投资规模最大的锂电池生产商，具有5亿安时（Ah）锂离子电池的年生产能力。股权转让方广州唐寥注册资本100万元，法定代表人为何建东，注册地址为广州市从化良口镇英豪学校内（营地四）。2013年，广州唐寥营业收入和净利润分别为35万元、-3.4万元。</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3"/>
      </w:pPr>
      <w:bookmarkStart w:id="58" w:name="博彦科技计划9016万收购泓智信息"/>
      <w:bookmarkEnd w:id="58"/>
      <w:r>
        <w:t xml:space="preserve">博彦科技计划9016万收购泓智信息</w:t>
      </w:r>
    </w:p>
    <w:p>
      <w:r>
        <w:t xml:space="preserve">博彦科技3月7日公告，公司拟以现金方式出资9016万元收购上海泓智信息100%股权。</w:t>
      </w:r>
    </w:p>
    <w:p>
      <w:r>
        <w:t xml:space="preserve">上海泓智信息成立于2007年，注册资本500万元。经营范围为计算机软硬件、电子元器件的研发销售等。截至目前，泓智信息已在相关领域取得11项软件著作权，并在房屋维修资金管理领域，取得6项软件著作权。博彦科技表示，本次收购是适应公司整体业务转型升信息服务方面的能力，也为未来的业务发展提供了新的市场方向。</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3"/>
      </w:pPr>
      <w:bookmarkStart w:id="61" w:name="华谊兄弟决定购买美国studio-8股权"/>
      <w:bookmarkEnd w:id="61"/>
      <w:r>
        <w:t xml:space="preserve">华谊兄弟决定购买美国Studio 8股权</w:t>
      </w:r>
    </w:p>
    <w:p>
      <w:r>
        <w:t xml:space="preserve">华谊兄弟3月7日公告称，拟与公司另行确定的其他投资人共同组成“华谊兄弟投资方”作为一个投资主体，合计向美国Studio 8公司投资1.2亿至1.5亿美元，购买美国Studio 8公司的股权。华谊兄弟在Studio 8公司中的具体持股比例、收益分配方式等内容将依据项目的进展情况在正式协议中约定。华谊兄弟成为Studio 8公司的股东后，将负责后者出品的所有电影在大中华地区的发行事宜。华谊兄弟于3月7日开市起复牌。</w:t>
      </w:r>
    </w:p>
    <w:p>
      <w:r>
        <w:t xml:space="preserve">Studio 8公司是由美国华纳公司的前总裁杰夫•罗宾诺夫（Jeff Robinov）在美国特拉华州组建设立的有限责任公司，主要从事好莱坞电影大片的制作业务。华谊兄弟表示，投资Studio 8公司是华谊兄弟开展全球化战略的一部分，旨在提高公司在国际市场的影响力。</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2"/>
      </w:pPr>
      <w:bookmarkStart w:id="64" w:name="wto"/>
      <w:bookmarkEnd w:id="64"/>
      <w:r>
        <w:t xml:space="preserve">WTO</w:t>
      </w:r>
    </w:p>
    <w:p>
      <w:pPr>
        <w:pStyle w:val="Heading3"/>
      </w:pPr>
      <w:bookmarkStart w:id="65" w:name="中兴通讯获美国337调查终裁胜诉"/>
      <w:bookmarkEnd w:id="65"/>
      <w:r>
        <w:t xml:space="preserve">中兴通讯获美国337调查终裁胜诉</w:t>
      </w:r>
    </w:p>
    <w:p>
      <w:r>
        <w:t xml:space="preserve">美国国际贸易委员会ITC近日就美国专利经营公司Technology Properties Limited LLC诉中兴通讯（000063）专利侵权一案，作出终审裁定：中兴通讯不侵犯原告TPL芯片设计技术专利权，未违反337条款。ITC本次终裁依然维持了去年9月的初裁结果。</w:t>
      </w:r>
    </w:p>
    <w:p>
      <w:r>
        <w:t xml:space="preserve">中兴通讯两月内已连续赢得两宗被称为“最严厉贸易限制措施”的美国337调查终裁胜诉。2013年底，ITC对拥有近20000件专利，号称美“专利大鳄”的InterDigital一案做出终审裁定，中兴通讯没有违反InterDigital的各项专利权。</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2"/>
      </w:pPr>
      <w:bookmarkStart w:id="68" w:name="其他"/>
      <w:bookmarkEnd w:id="68"/>
      <w:r>
        <w:t xml:space="preserve">其他</w:t>
      </w:r>
    </w:p>
    <w:p>
      <w:pPr>
        <w:pStyle w:val="Heading3"/>
      </w:pPr>
      <w:bookmarkStart w:id="69" w:name="国务院废止和修改部分行政法规"/>
      <w:bookmarkEnd w:id="69"/>
      <w:r>
        <w:t xml:space="preserve">国务院废止和修改部分行政法规</w:t>
      </w:r>
    </w:p>
    <w:p>
      <w:r>
        <w:t xml:space="preserve">近日，国务院发布《关于废止和修改部分行政法规的决定》（以下简称《决定》），《决定》自3月1日起施行。</w:t>
      </w:r>
    </w:p>
    <w:p>
      <w:r>
        <w:t xml:space="preserve">《决定》废止了《中外合资经营企业合营各方出资的若干规定》、《〈中外合资经营企业合营各方出资的若干规定〉的补充规定》两项法规。同时，《决定》还对《中华人民共和国公司登记管理条例》、《中华人民共和国企业法人登记管理条例》、《中华人民共和国中外合资经营企业法实施条例》等八项法规作出了修改。</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3"/>
      </w:pPr>
      <w:bookmarkStart w:id="72" w:name="三部委联合印发道路运输车辆动态监督管理办法"/>
      <w:bookmarkEnd w:id="72"/>
      <w:r>
        <w:t xml:space="preserve">三部委联合印发《道路运输车辆动态监督管理办法》</w:t>
      </w:r>
    </w:p>
    <w:p>
      <w:r>
        <w:t xml:space="preserve">交通运输部网站3月4日消息，近日，交通运输部、公安部、国家安全生产监督管理总局联合印发了《道路运输车辆动态监督管理办法》（以下简称《办法》），《办法》自2014年7月1日起施行。</w:t>
      </w:r>
    </w:p>
    <w:p>
      <w:r>
        <w:t xml:space="preserve">《办法》共6章，计42条。《办法》规定，道路运输车辆安装、使用具有行驶记录功能的卫星定位装置以及相关安全监督管理活动，适用本办法。根据《办法》，道路运输管理机构、公安机关交通管理部门、安全监管部门依据法定职责，对道路运输车辆动态监控工作实施联合监督管理。</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Heading3"/>
      </w:pPr>
      <w:bookmarkStart w:id="75" w:name="美商人涉嫌帮助攀钢盗取信息被判有罪"/>
      <w:bookmarkEnd w:id="75"/>
      <w:r>
        <w:t xml:space="preserve">美商人涉嫌帮助攀钢盗取信息被判有罪</w:t>
      </w:r>
    </w:p>
    <w:p>
      <w:r>
        <w:t xml:space="preserve">据路透社报道，3月5日，因盗窃杜邦公司的商业秘密来帮助中国攀钢集团开发一款用途广泛的白色颜料，美国加州商人沃尔特•路易被裁定有罪。</w:t>
      </w:r>
    </w:p>
    <w:p>
      <w:r>
        <w:t xml:space="preserve">在旧金山联邦法院，陪审团认为沃尔特•路易逾20项刑事罪名成立，包括串谋经济间谍活动以及盗窃商业秘密。另一名被告、前杜邦工程师罗伯特•马格勒也被裁定数项罪名成立。</w:t>
      </w:r>
    </w:p>
    <w:p>
      <w:r>
        <w:t xml:space="preserve">美国检方表示，沃尔特•路易向罗伯特•马格勒等前杜邦雇员提供报酬，换取商业秘密，进而帮助攀钢集团来开发一款被称为氯化钛白粉（又称二氧化钛）的颜料。这款颜料可以用来制作一系列白色产品，包括纸张、油漆和塑料。</w:t>
      </w:r>
    </w:p>
    <w:p>
      <w:r>
        <w:t xml:space="preserve">本案中，检方也指控了攀钢集团，但是美国法官判定检方没有充分告知攀钢情况，所以目前检方的起诉处于停滞状态。</w:t>
      </w:r>
    </w:p>
    <w:p>
      <w:hyperlink r:id="rId76">
        <w:r>
          <w:rPr>
            <w:rStyle w:val="Link"/>
          </w:rPr>
          <w:t xml:space="preserve">来源</w:t>
        </w:r>
      </w:hyperlink>
      <w:r>
        <w:t xml:space="preserve"> </w:t>
      </w:r>
      <w:r>
        <w:t xml:space="preserve">(</w:t>
      </w:r>
      <w:hyperlink r:id="rId77">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8">
        <w:r>
          <w:rPr>
            <w:rStyle w:val="Link"/>
          </w:rPr>
          <w:t xml:space="preserve">unsubscribe@charltonslaw.com</w:t>
        </w:r>
      </w:hyperlink>
    </w:p>
    <w:p>
      <w:r>
        <w:rPr>
          <w:b/>
        </w:rPr>
        <w:t xml:space="preserve">易周律师行 - 法讯 - 中国 - 第396期 - 2014年03月07日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8016028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7" Target="13.pdf" TargetMode="External" /><Relationship Type="http://schemas.openxmlformats.org/officeDocument/2006/relationships/hyperlink" Id="rId71" Target="14.pdf" TargetMode="External" /><Relationship Type="http://schemas.openxmlformats.org/officeDocument/2006/relationships/hyperlink" Id="rId74" Target="15.pdf" TargetMode="External" /><Relationship Type="http://schemas.openxmlformats.org/officeDocument/2006/relationships/hyperlink" Id="rId77" Target="16.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7" Target="7.pdf" TargetMode="External" /><Relationship Type="http://schemas.openxmlformats.org/officeDocument/2006/relationships/hyperlink" Id="rId50" Target="8.pdf" TargetMode="External" /><Relationship Type="http://schemas.openxmlformats.org/officeDocument/2006/relationships/hyperlink" Id="rId54" Target="9.pdf" TargetMode="External" /><Relationship Type="http://schemas.openxmlformats.org/officeDocument/2006/relationships/hyperlink" Id="rId66" Target="http://epaper.stcn.com/paper/zqsb/html/2014-03/04/content_550291.htm" TargetMode="External" /><Relationship Type="http://schemas.openxmlformats.org/officeDocument/2006/relationships/hyperlink" Id="rId53" Target="http://epaper.stcn.com/paper/zqsb/html/epaper/index/content_549997.htm" TargetMode="External" /><Relationship Type="http://schemas.openxmlformats.org/officeDocument/2006/relationships/hyperlink" Id="rId56" Target="http://epaper.stcn.com/paper/zqsb/html/epaper/index/content_550763.htm" TargetMode="External" /><Relationship Type="http://schemas.openxmlformats.org/officeDocument/2006/relationships/hyperlink" Id="rId59" Target="http://epaper.stcn.com/paper/zqsb/html/epaper/index/content_551149.htm" TargetMode="External" /><Relationship Type="http://schemas.openxmlformats.org/officeDocument/2006/relationships/hyperlink" Id="rId62" Target="http://epaper.stcn.com/paper/zqsb/html/epaper/index/content_551151.htm" TargetMode="External" /><Relationship Type="http://schemas.openxmlformats.org/officeDocument/2006/relationships/hyperlink" Id="rId42" Target="http://finance.chinanews.com/it/2014/03-06/5920520.shtml" TargetMode="External" /><Relationship Type="http://schemas.openxmlformats.org/officeDocument/2006/relationships/hyperlink" Id="rId76" Target="http://finance.qq.com/a/20140306/012130.htm" TargetMode="External" /><Relationship Type="http://schemas.openxmlformats.org/officeDocument/2006/relationships/hyperlink" Id="rId31" Target="http://gks.mof.gov.cn/redianzhuanti/guozaiguanli/gzglzcfg/201403/t20140304_1049456.html" TargetMode="External" /><Relationship Type="http://schemas.openxmlformats.org/officeDocument/2006/relationships/hyperlink" Id="rId34" Target="http://www.cbrc.gov.cn/chinese/home/docView/03070493C5F4473E8F8E0229E3DF0E44.html" TargetMode="External" /><Relationship Type="http://schemas.openxmlformats.org/officeDocument/2006/relationships/hyperlink" Id="rId21" Target="http://www.charltonslaw.com.cn/china-news-alerts-cn-issue-396/" TargetMode="External" /><Relationship Type="http://schemas.openxmlformats.org/officeDocument/2006/relationships/hyperlink" Id="rId49" Target="http://www.circ.gov.cn/web/site0/tab5168/info3905522.htm" TargetMode="External" /><Relationship Type="http://schemas.openxmlformats.org/officeDocument/2006/relationships/hyperlink" Id="rId46" Target="http://www.circ.gov.cn/web/site0/tab5168/info3905524.htm" TargetMode="External" /><Relationship Type="http://schemas.openxmlformats.org/officeDocument/2006/relationships/hyperlink" Id="rId70" Target="http://www.gov.cn/zwgk/2014-02/28/content_2625736.htm" TargetMode="External" /><Relationship Type="http://schemas.openxmlformats.org/officeDocument/2006/relationships/hyperlink" Id="rId73" Target="http://www.moc.gov.cn/zfxxgk/bnssj/zcfgs/201403/t20140304_1587084.html" TargetMode="External" /><Relationship Type="http://schemas.openxmlformats.org/officeDocument/2006/relationships/hyperlink" Id="rId38" Target="http://www.mofcom.gov.cn/article/b/c/201403/20140300504579.shtml" TargetMode="External" /><Relationship Type="http://schemas.openxmlformats.org/officeDocument/2006/relationships/hyperlink" Id="rId28" Target="http://www.saic.gov.cn/zwgk/zyfb/zjl/xxzx/201402/t20140228_142498.html" TargetMode="External" /><Relationship Type="http://schemas.openxmlformats.org/officeDocument/2006/relationships/hyperlink" Id="rId25" Target="http://www.saic.gov.cn/zwgk/zyfb/zjl/xxzx/201402/t20140228_142509.html" TargetMode="External" /><Relationship Type="http://schemas.openxmlformats.org/officeDocument/2006/relationships/hyperlink" Id="rId78"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7" Target="13.pdf" TargetMode="External" /><Relationship Type="http://schemas.openxmlformats.org/officeDocument/2006/relationships/hyperlink" Id="rId71" Target="14.pdf" TargetMode="External" /><Relationship Type="http://schemas.openxmlformats.org/officeDocument/2006/relationships/hyperlink" Id="rId74" Target="15.pdf" TargetMode="External" /><Relationship Type="http://schemas.openxmlformats.org/officeDocument/2006/relationships/hyperlink" Id="rId77" Target="16.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7" Target="7.pdf" TargetMode="External" /><Relationship Type="http://schemas.openxmlformats.org/officeDocument/2006/relationships/hyperlink" Id="rId50" Target="8.pdf" TargetMode="External" /><Relationship Type="http://schemas.openxmlformats.org/officeDocument/2006/relationships/hyperlink" Id="rId54" Target="9.pdf" TargetMode="External" /><Relationship Type="http://schemas.openxmlformats.org/officeDocument/2006/relationships/hyperlink" Id="rId66" Target="http://epaper.stcn.com/paper/zqsb/html/2014-03/04/content_550291.htm" TargetMode="External" /><Relationship Type="http://schemas.openxmlformats.org/officeDocument/2006/relationships/hyperlink" Id="rId53" Target="http://epaper.stcn.com/paper/zqsb/html/epaper/index/content_549997.htm" TargetMode="External" /><Relationship Type="http://schemas.openxmlformats.org/officeDocument/2006/relationships/hyperlink" Id="rId56" Target="http://epaper.stcn.com/paper/zqsb/html/epaper/index/content_550763.htm" TargetMode="External" /><Relationship Type="http://schemas.openxmlformats.org/officeDocument/2006/relationships/hyperlink" Id="rId59" Target="http://epaper.stcn.com/paper/zqsb/html/epaper/index/content_551149.htm" TargetMode="External" /><Relationship Type="http://schemas.openxmlformats.org/officeDocument/2006/relationships/hyperlink" Id="rId62" Target="http://epaper.stcn.com/paper/zqsb/html/epaper/index/content_551151.htm" TargetMode="External" /><Relationship Type="http://schemas.openxmlformats.org/officeDocument/2006/relationships/hyperlink" Id="rId42" Target="http://finance.chinanews.com/it/2014/03-06/5920520.shtml" TargetMode="External" /><Relationship Type="http://schemas.openxmlformats.org/officeDocument/2006/relationships/hyperlink" Id="rId76" Target="http://finance.qq.com/a/20140306/012130.htm" TargetMode="External" /><Relationship Type="http://schemas.openxmlformats.org/officeDocument/2006/relationships/hyperlink" Id="rId31" Target="http://gks.mof.gov.cn/redianzhuanti/guozaiguanli/gzglzcfg/201403/t20140304_1049456.html" TargetMode="External" /><Relationship Type="http://schemas.openxmlformats.org/officeDocument/2006/relationships/hyperlink" Id="rId34" Target="http://www.cbrc.gov.cn/chinese/home/docView/03070493C5F4473E8F8E0229E3DF0E44.html" TargetMode="External" /><Relationship Type="http://schemas.openxmlformats.org/officeDocument/2006/relationships/hyperlink" Id="rId21" Target="http://www.charltonslaw.com.cn/china-news-alerts-cn-issue-396/" TargetMode="External" /><Relationship Type="http://schemas.openxmlformats.org/officeDocument/2006/relationships/hyperlink" Id="rId49" Target="http://www.circ.gov.cn/web/site0/tab5168/info3905522.htm" TargetMode="External" /><Relationship Type="http://schemas.openxmlformats.org/officeDocument/2006/relationships/hyperlink" Id="rId46" Target="http://www.circ.gov.cn/web/site0/tab5168/info3905524.htm" TargetMode="External" /><Relationship Type="http://schemas.openxmlformats.org/officeDocument/2006/relationships/hyperlink" Id="rId70" Target="http://www.gov.cn/zwgk/2014-02/28/content_2625736.htm" TargetMode="External" /><Relationship Type="http://schemas.openxmlformats.org/officeDocument/2006/relationships/hyperlink" Id="rId73" Target="http://www.moc.gov.cn/zfxxgk/bnssj/zcfgs/201403/t20140304_1587084.html" TargetMode="External" /><Relationship Type="http://schemas.openxmlformats.org/officeDocument/2006/relationships/hyperlink" Id="rId38" Target="http://www.mofcom.gov.cn/article/b/c/201403/20140300504579.shtml" TargetMode="External" /><Relationship Type="http://schemas.openxmlformats.org/officeDocument/2006/relationships/hyperlink" Id="rId28" Target="http://www.saic.gov.cn/zwgk/zyfb/zjl/xxzx/201402/t20140228_142498.html" TargetMode="External" /><Relationship Type="http://schemas.openxmlformats.org/officeDocument/2006/relationships/hyperlink" Id="rId25" Target="http://www.saic.gov.cn/zwgk/zyfb/zjl/xxzx/201402/t20140228_142509.html" TargetMode="External" /><Relationship Type="http://schemas.openxmlformats.org/officeDocument/2006/relationships/hyperlink" Id="rId78"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第396期 - 2014年03月07日</dc:title>
  <dc:creator/>
</cp:coreProperties>
</file>