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第397期</w:t>
      </w:r>
      <w:r>
        <w:t xml:space="preserve"> </w:t>
      </w:r>
      <w:r>
        <w:t xml:space="preserve">-</w:t>
      </w:r>
      <w:r>
        <w:t xml:space="preserve"> </w:t>
      </w:r>
      <w:r>
        <w:t xml:space="preserve">2014年03月14日</w:t>
      </w:r>
    </w:p>
    <w:p>
      <w:hyperlink r:id="rId21">
        <w:r>
          <w:rPr>
            <w:rStyle w:val="Link"/>
          </w:rPr>
          <w:t xml:space="preserve">网络版</w:t>
        </w:r>
      </w:hyperlink>
    </w:p>
    <w:p>
      <w:pPr>
        <w:pStyle w:val="Heading1"/>
      </w:pPr>
      <w:bookmarkStart w:id="22" w:name="法讯中国第397期"/>
      <w:bookmarkEnd w:id="22"/>
      <w:r>
        <w:t xml:space="preserve">法讯中国第397期</w:t>
      </w:r>
    </w:p>
    <w:p>
      <w:pPr>
        <w:pStyle w:val="Heading2"/>
      </w:pPr>
      <w:bookmarkStart w:id="23" w:name="资本市场"/>
      <w:bookmarkEnd w:id="23"/>
      <w:r>
        <w:t xml:space="preserve">资本市场</w:t>
      </w:r>
    </w:p>
    <w:p>
      <w:pPr>
        <w:pStyle w:val="Heading3"/>
      </w:pPr>
      <w:bookmarkStart w:id="24" w:name="首批5家民营银行确定四种经营模式"/>
      <w:bookmarkEnd w:id="24"/>
      <w:r>
        <w:t xml:space="preserve">首批5家民营银行确定四种经营模式</w:t>
      </w:r>
    </w:p>
    <w:p>
      <w:r>
        <w:t xml:space="preserve">中国银监会有关负责人3月11日表示，按照中央深化改革领导小组和国务院的有关要求，在各地转报推荐的试点方案中择优确定了首批5家民营银行试点方案。</w:t>
      </w:r>
    </w:p>
    <w:p>
      <w:r>
        <w:t xml:space="preserve">上述试点银行工作将由参与设计试点方案的阿里巴巴、万向、腾讯、百业源、均瑶、复星、商汇、华北、正泰、华峰10家民营资本参与。</w:t>
      </w:r>
    </w:p>
    <w:p>
      <w:r>
        <w:t xml:space="preserve">试点工作将遵循共同发起人原则，按每家试点银行不少于2个发起人的要求，开展相关筹备工作，这些试点银行将选址在天津、上海、浙江和广东等地区。</w:t>
      </w:r>
    </w:p>
    <w:p>
      <w:r>
        <w:t xml:space="preserve">根据试点方案要求，民营银行确定四种经营模式：“小存小贷”（限定存款上限，设定财富下限）；“大存小贷”（存款限定下限，贷款限定上限）；“公存公贷”（只对法人不对个人）；“特定区域存贷款”（限定业务和区域范围）。</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基金业协会明确进一步完善基金管理公司治理相关问题"/>
      <w:bookmarkEnd w:id="27"/>
      <w:r>
        <w:t xml:space="preserve">基金业协会明确进一步完善基金管理公司治理相关问题</w:t>
      </w:r>
    </w:p>
    <w:p>
      <w:r>
        <w:t xml:space="preserve">3月10日，中国证券投资基金业协会发布《关于进一步完善基金管理公司治理相关问题的意见》（以下简称《意见》）。</w:t>
      </w:r>
    </w:p>
    <w:p>
      <w:r>
        <w:t xml:space="preserve">《意见》指出，基金管理公司要探索多元化治理模式，建立长效激励约束机制。基金管理公司要积极推进专业人士持股等长效激励约束机制，探索能够有效统一持有人利益、员工利益和股东利益的治理结构。同时，《意见》鼓励基金管理公司逐步探索员工持股等多元化的激励约束方式。</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行业"/>
      <w:bookmarkEnd w:id="30"/>
      <w:r>
        <w:t xml:space="preserve">行业</w:t>
      </w:r>
    </w:p>
    <w:p>
      <w:pPr>
        <w:pStyle w:val="Heading3"/>
      </w:pPr>
      <w:bookmarkStart w:id="31" w:name="电石铁合金行业能耗限额标准贯彻实施方案印发"/>
      <w:bookmarkEnd w:id="31"/>
      <w:r>
        <w:t xml:space="preserve">《电石、铁合金行业能耗限额标准贯彻实施方案》印发</w:t>
      </w:r>
    </w:p>
    <w:p>
      <w:r>
        <w:t xml:space="preserve">工信部官网3月11日消息，2月24日，工信部等三部委印发《电石、铁合金行业能耗限额标准贯彻实施方案》。</w:t>
      </w:r>
    </w:p>
    <w:p>
      <w:r>
        <w:t xml:space="preserve">其中，《电石行业能耗限额标准贯彻实施方案》指出，到2015年，电石企业达到能源计量器具配备和管理要求；列入整改的企业完成强制性能源审计，逾期未整改或整改不达标企业落实处罚措施；基本建立电石行业能耗监测系统。</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2"/>
      </w:pPr>
      <w:bookmarkStart w:id="34" w:name="税收"/>
      <w:bookmarkEnd w:id="34"/>
      <w:r>
        <w:t xml:space="preserve">税收</w:t>
      </w:r>
    </w:p>
    <w:p>
      <w:pPr>
        <w:pStyle w:val="Heading3"/>
      </w:pPr>
      <w:bookmarkStart w:id="35" w:name="大型水电企业可享增值税优惠政策"/>
      <w:bookmarkEnd w:id="35"/>
      <w:r>
        <w:t xml:space="preserve">大型水电企业可享增值税优惠政策</w:t>
      </w:r>
    </w:p>
    <w:p>
      <w:r>
        <w:t xml:space="preserve">3月12日，财政部官网消息，2月12日，财政部、国税总局联合发布《关于大型水电企业增值税政策的通知》。</w:t>
      </w:r>
    </w:p>
    <w:p>
      <w:r>
        <w:t xml:space="preserve">《通知》明确，装机容量超过100万千瓦的水力发电站（含抽水蓄能电站）销售自产电力产品，自2013年1月1日至2015年12月31日，对其增值税实际税负超过8%的部分实行即征即退政策；自2016年1月1日至2017年12月31日，对其增值税实际税负超过12%的部分实行即征即退政策。</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r>
        <w:t xml:space="preserve"> </w:t>
      </w:r>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保险"/>
      <w:bookmarkEnd w:id="40"/>
      <w:r>
        <w:t xml:space="preserve">保险</w:t>
      </w:r>
    </w:p>
    <w:p>
      <w:pPr>
        <w:pStyle w:val="Heading3"/>
      </w:pPr>
      <w:bookmarkStart w:id="41" w:name="保监会规范险资银行存款业务"/>
      <w:bookmarkEnd w:id="41"/>
      <w:r>
        <w:t xml:space="preserve">保监会规范险资银行存款业务</w:t>
      </w:r>
    </w:p>
    <w:p>
      <w:r>
        <w:t xml:space="preserve">保监会官网3月12日消息，为加强保险资金银行存款业务监管，中国保监会近日发布《关于规范保险资金银行存款业务的通知》，从制度和操作两个层面，规范部分保险公司在银行存款业务中存在的操作不透明等风险隐患和问题。</w:t>
      </w:r>
    </w:p>
    <w:p>
      <w:r>
        <w:t xml:space="preserve">《通知》主要内容包括：一是强化交易对手资质，规范业务操作流程，防范信用风险和操作风险；二是建立银行存款托管机制，防范资金挪用风险；三是规范存单质押行为，明确以银行存款为自身质押融资的管理要求，禁止向他人提供质押融资、担保、委托贷款或为他人谋取利益；四是加强监督管理，强化银行存款业务的信息报告要求。《通知》还要求建立行业自律管理机制，加强交易对手风险监测。</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三部门出台意见推进养老机构责任保险工作"/>
      <w:bookmarkEnd w:id="44"/>
      <w:r>
        <w:t xml:space="preserve">三部门出台意见推进养老机构责任保险工作</w:t>
      </w:r>
    </w:p>
    <w:p>
      <w:r>
        <w:t xml:space="preserve">民政部官网3月12日消息，近日，民政部、中国保监会、全国老龄办联合印发了《关于推进养老机构责任保险工作的指导意见》（以下简称《意见》）。</w:t>
      </w:r>
    </w:p>
    <w:p>
      <w:r>
        <w:t xml:space="preserve">《意见》指出，各地保险监管部门要引导保险公司积极进行产品创新，充分考虑养老服务的特点，合理设计保险产品条款、科学厘定费率，满足多样化养老机构责任保险需求。同时，《意见》强调，各级民政、保险监管和老龄部门对于财政部门给予的保费补贴、公办养老机构的保险费用应当列入预算管理，严格专款专用。</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2"/>
      </w:pPr>
      <w:bookmarkStart w:id="47" w:name="并购"/>
      <w:bookmarkEnd w:id="47"/>
      <w:r>
        <w:t xml:space="preserve">并购</w:t>
      </w:r>
    </w:p>
    <w:p>
      <w:pPr>
        <w:pStyle w:val="Heading3"/>
      </w:pPr>
      <w:bookmarkStart w:id="48" w:name="维尔利4.6亿收购杭能环境"/>
      <w:bookmarkEnd w:id="48"/>
      <w:r>
        <w:t xml:space="preserve">维尔利4.6亿收购杭能环境</w:t>
      </w:r>
    </w:p>
    <w:p>
      <w:r>
        <w:t xml:space="preserve">维尔利日前公告，公司拟以支付现金及非公开发行股份方式购买杭能环境100%股权，公司股票今起复牌。</w:t>
      </w:r>
    </w:p>
    <w:p>
      <w:r>
        <w:t xml:space="preserve">此次现金及发行股份购买资产的发行价格为23.16元/股，拟发行股份的数量为1271.16万股；同时，公司拟募集配套资金总额不超过1.53亿元用于现金对价的支付。经交易各方协商，杭能环境100%股权的交易作价为4.6亿元。</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中化岩土收购两公司"/>
      <w:bookmarkEnd w:id="51"/>
      <w:r>
        <w:t xml:space="preserve">中化岩土收购两公司</w:t>
      </w:r>
    </w:p>
    <w:p>
      <w:r>
        <w:t xml:space="preserve">中化岩土3月10日公布了拟定增8亿收购两家工程公司的预案，由此公司业务范围将向地基与基础工程行业全面延伸。两家工程公司的原股东承诺，今年净利合计不低于9000万元。</w:t>
      </w:r>
    </w:p>
    <w:p>
      <w:r>
        <w:t xml:space="preserve">中化岩土拟以发行股份及支付现金的方式购买上海强劲地基工程股份有限公司100%股权、上海远方基础工程有限公司100%股权，初步协商的交易价格合计为8.08亿元，其中支付现金9718.2万元，发行股份5860万股支付交易对价7.11亿元。</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腾讯入股京东15股权"/>
      <w:bookmarkEnd w:id="54"/>
      <w:r>
        <w:t xml:space="preserve">腾讯入股京东15%股权</w:t>
      </w:r>
    </w:p>
    <w:p>
      <w:r>
        <w:t xml:space="preserve">3月10日，腾讯正式宣布与京东建立战略合作伙伴关系。腾讯将通过向京东出资2.14亿美元（约合13.13亿元人民币），并置入旗下大部分电商资产，获得京东15%的股权。此外，腾讯总裁刘炽平将加入京东董事会。</w:t>
      </w:r>
    </w:p>
    <w:p>
      <w:r>
        <w:t xml:space="preserve">此次双方合作的内容包括：京东将获得腾讯B2C平台QQ网购和C2C平台拍拍网的100%权益、物流人员和资产，以及易迅网的少数股权和购买易迅网剩余股权的权利；而腾讯将以2.14亿美元入股京东，占京东上市前在外流通普通股的15%，腾讯还将在京东首次公开招股时按照招股价认购额外5%的股份。</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湘鄂情2.85亿购笛女影视51股权"/>
      <w:bookmarkEnd w:id="57"/>
      <w:r>
        <w:t xml:space="preserve">湘鄂情2.85亿购笛女影视51％股权</w:t>
      </w:r>
    </w:p>
    <w:p>
      <w:r>
        <w:t xml:space="preserve">湘鄂情3月13日宣布预计以2.85亿元的价格，收购笛女影视传媒（上海）有限公司51％股权。</w:t>
      </w:r>
    </w:p>
    <w:p>
      <w:r>
        <w:t xml:space="preserve">3月12日，就拟收购笛女影视51％股权事宜，公司与重庆笛女阿瑞斯影视传媒有限公司签订意向协议。协议约定：在笛女影视2014年净利润不低于5000万元（含）的条件下，湘鄂情同意按笛女影视2014年度实际净利润，以不低于10倍市盈率的价格收购不低于51%的股权。公告称，在其他条件不变的情况下，预计2015年公司对目标股权的交易定价约为2.58亿元。协议签订后，湘鄂情向交易对手方支付收购意向定金2000万元。</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st鞍钢收购大股东资产"/>
      <w:bookmarkEnd w:id="60"/>
      <w:r>
        <w:t xml:space="preserve">*ST鞍钢收购大股东资产</w:t>
      </w:r>
    </w:p>
    <w:p>
      <w:r>
        <w:t xml:space="preserve">*ST鞍钢3月13日公告，3月12日，就收购部分球团生产设备事项，与控股股东鞍钢集团签署了协议。拟收购的资产账面价值957.15万元，评估值6207.1万元，评估增值5249.95万元，增值率548.5%。</w:t>
      </w:r>
    </w:p>
    <w:p>
      <w:r>
        <w:t xml:space="preserve">*ST鞍钢称，公司拟购买的鞍钢集团100万吨/年球团生产线设备资产，包括机器设备686项。公告称，标的资产账面原值1.43亿元，账面净值959.72万元。</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熊猫烟花5.5亿并购华海时代进军影视"/>
      <w:bookmarkEnd w:id="63"/>
      <w:r>
        <w:t xml:space="preserve">熊猫烟花5.5亿并购华海时代进军影视</w:t>
      </w:r>
    </w:p>
    <w:p>
      <w:r>
        <w:t xml:space="preserve">熊猫烟花3月14日披露资产重组预案，计划向万载华海发行股份购买其持有的华海时代100%股权，交易总价为5.5亿元。交易完成后，熊猫烟花将持有华海时代全部股权，从而进军影视文化行业。</w:t>
      </w:r>
    </w:p>
    <w:p>
      <w:r>
        <w:t xml:space="preserve">截至2013年末，华海时代合并报表净资产账面价值约6006.72万元，预估值约为5.5亿元，增值率815.97%。此次交易价格5.5亿元，按发行价格9.17元/股计算，熊猫烟花将向万载华海发行约6000万股。</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2"/>
      </w:pPr>
      <w:bookmarkStart w:id="66" w:name="其他"/>
      <w:bookmarkEnd w:id="66"/>
      <w:r>
        <w:t xml:space="preserve">其他</w:t>
      </w:r>
    </w:p>
    <w:p>
      <w:pPr>
        <w:pStyle w:val="Heading3"/>
      </w:pPr>
      <w:bookmarkStart w:id="67" w:name="国务院办公厅出台意见规范引导城区老工业区搬迁改造工作"/>
      <w:bookmarkEnd w:id="67"/>
      <w:r>
        <w:t xml:space="preserve">国务院办公厅出台意见规范引导城区老工业区搬迁改造工作</w:t>
      </w:r>
    </w:p>
    <w:p>
      <w:r>
        <w:t xml:space="preserve">3月11日，国务院官网消息，近日，国务院办公厅发布《关于推进城区老工业区搬迁改造的指导意见》（以下简称《意见》）。</w:t>
      </w:r>
    </w:p>
    <w:p>
      <w:r>
        <w:t xml:space="preserve">《意见》指出，各地在推进城区老工业区搬迁改造中，要科学编制实施方案。要推进企业搬迁改造，对城区老工业区企业视情况分别实施就地改造、异地迁建和依法关停等。同时，要合理选择搬迁企业承接地，根据搬迁企业的产业类型、发展方向等，引导企业向具备条件的经济技术开发区、高新技术产业开发区等园区搬迁，推动产业集聚发展。</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上海市工商局在自贸试验区先行先试企业年报公示办法"/>
      <w:bookmarkEnd w:id="70"/>
      <w:r>
        <w:t xml:space="preserve">上海市工商局在自贸试验区先行先试企业年报公示办法</w:t>
      </w:r>
    </w:p>
    <w:p>
      <w:r>
        <w:t xml:space="preserve">3月13日，上海市政府官方网站消息，3月3日，上海市工商行政管理局印发了《中国（上海）自由贸易试验区企业年度报告公示办法（试行）》、《中国（上海）自由贸易试验区企业经营异常名录管理办法（试行）》两项办法。</w:t>
      </w:r>
    </w:p>
    <w:p>
      <w:r>
        <w:t xml:space="preserve">两项办法明确规定了企业年度报告公示和经营异常名录的适用主体范围、管理职责分工、公示方式途径等内容，将重点加强对企业的信用约束，引导企业诚信经营。</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r>
        <w:t xml:space="preserve"> </w:t>
      </w:r>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3"/>
      </w:pPr>
      <w:bookmarkStart w:id="75" w:name="阿克曼指控康宝莱在中国违反直销法律"/>
      <w:bookmarkEnd w:id="75"/>
      <w:r>
        <w:t xml:space="preserve">阿克曼指控康宝莱在中国违反直销法律</w:t>
      </w:r>
    </w:p>
    <w:p>
      <w:r>
        <w:t xml:space="preserve">亿万富豪投资者威廉•阿克曼3月11日重申他对康宝莱的指控，他说有证据显示这家营养和减肥产品公司在中国违反直销法律，中国是康宝莱增长最快的市场。</w:t>
      </w:r>
    </w:p>
    <w:p>
      <w:r>
        <w:t xml:space="preserve">阿克曼斥资10亿美元做空康宝莱，他表示这家公司让新员工支付报名费，让分销商招募新成员，违反了中国的法律。他还表示，这家公司把销售给分销商的产品伪装成每小时咨询费。</w:t>
      </w:r>
    </w:p>
    <w:p>
      <w:r>
        <w:t xml:space="preserve">阿克曼电话会议中讲了这番话。他的律师大卫•克拉夫特、OTG研究公司的亚伦•史密斯-莱文、合伙人本•哈基姆也加入了这次电话会议，OTG研究公司对中国的康宝莱经销商进行了采访。作为阿克曼对冲基金潘兴广场资本管理公司的律师，克拉夫特在电话会议上表示，“根据我对事实的认识和对中国法律的了解，他们违反了民事法和刑事法。”康宝莱表示，2013年第四季度中国销售额增长超过120%，是全世界增长最快的市场，为去年的全球销售额贡献了10%左右。</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8">
        <w:r>
          <w:rPr>
            <w:rStyle w:val="Link"/>
          </w:rPr>
          <w:t xml:space="preserve">unsubscribe@charltonslaw.com</w:t>
        </w:r>
      </w:hyperlink>
    </w:p>
    <w:p>
      <w:r>
        <w:rPr>
          <w:b/>
        </w:rPr>
        <w:t xml:space="preserve">易周律师行 - 法讯 - 中国 - 第397期 - 2014年03月14日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d29668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2" Target="11.pdf" TargetMode="External" /><Relationship Type="http://schemas.openxmlformats.org/officeDocument/2006/relationships/hyperlink" Id="rId65" Target="12.pdf" TargetMode="External" /><Relationship Type="http://schemas.openxmlformats.org/officeDocument/2006/relationships/hyperlink" Id="rId69" Target="13.pdf" TargetMode="External" /><Relationship Type="http://schemas.openxmlformats.org/officeDocument/2006/relationships/hyperlink" Id="rId72" Target="14.pdf" TargetMode="External" /><Relationship Type="http://schemas.openxmlformats.org/officeDocument/2006/relationships/hyperlink" Id="rId74" Target="14a.pdf" TargetMode="External" /><Relationship Type="http://schemas.openxmlformats.org/officeDocument/2006/relationships/hyperlink" Id="rId77" Target="15.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39" Target="4a.pdf" TargetMode="External" /><Relationship Type="http://schemas.openxmlformats.org/officeDocument/2006/relationships/hyperlink" Id="rId43" Target="5.pdf" TargetMode="External" /><Relationship Type="http://schemas.openxmlformats.org/officeDocument/2006/relationships/hyperlink" Id="rId46" Target="6.pdf" TargetMode="External" /><Relationship Type="http://schemas.openxmlformats.org/officeDocument/2006/relationships/hyperlink" Id="rId50" Target="7.pdf" TargetMode="External" /><Relationship Type="http://schemas.openxmlformats.org/officeDocument/2006/relationships/hyperlink" Id="rId53" Target="8.pdf" TargetMode="External" /><Relationship Type="http://schemas.openxmlformats.org/officeDocument/2006/relationships/hyperlink" Id="rId56" Target="9.pdf" TargetMode="External" /><Relationship Type="http://schemas.openxmlformats.org/officeDocument/2006/relationships/hyperlink" Id="rId52" Target="http://epaper.stcn.com/paper/zqsb/html/epaper/index/content_551653.htm" TargetMode="External" /><Relationship Type="http://schemas.openxmlformats.org/officeDocument/2006/relationships/hyperlink" Id="rId49" Target="http://epaper.stcn.com/paper/zqsb/html/epaper/index/content_551654.htm" TargetMode="External" /><Relationship Type="http://schemas.openxmlformats.org/officeDocument/2006/relationships/hyperlink" Id="rId55" Target="http://epaper.stcn.com/paper/zqsb/html/epaper/index/content_551827.htm" TargetMode="External" /><Relationship Type="http://schemas.openxmlformats.org/officeDocument/2006/relationships/hyperlink" Id="rId25" Target="http://epaper.stcn.com/paper/zqsb/html/epaper/index/content_552510.htm" TargetMode="External" /><Relationship Type="http://schemas.openxmlformats.org/officeDocument/2006/relationships/hyperlink" Id="rId58" Target="http://epaper.stcn.com/paper/zqsb/html/epaper/index/content_552996.htm" TargetMode="External" /><Relationship Type="http://schemas.openxmlformats.org/officeDocument/2006/relationships/hyperlink" Id="rId61" Target="http://epaper.stcn.com/paper/zqsb/html/epaper/index/content_552998.htm" TargetMode="External" /><Relationship Type="http://schemas.openxmlformats.org/officeDocument/2006/relationships/hyperlink" Id="rId38" Target="http://epaper.stcn.com/paper/zqsb/html/epaper/index/content_553010.htm" TargetMode="External" /><Relationship Type="http://schemas.openxmlformats.org/officeDocument/2006/relationships/hyperlink" Id="rId64" Target="http://epaper.stcn.com/paper/zqsb/html/epaper/index/content_553297.htm" TargetMode="External" /><Relationship Type="http://schemas.openxmlformats.org/officeDocument/2006/relationships/hyperlink" Id="rId73" Target="http://kuaixun.stcn.com/2014/0313/11245495.shtml" TargetMode="External" /><Relationship Type="http://schemas.openxmlformats.org/officeDocument/2006/relationships/hyperlink" Id="rId76" Target="http://money.163.com/14/0312/08/9N4GN6G600251LK6.html" TargetMode="External" /><Relationship Type="http://schemas.openxmlformats.org/officeDocument/2006/relationships/hyperlink" Id="rId36" Target="http://szs.mof.gov.cn/zhengwuxinxi/zhengcefabu/201402/t20140224_1046354.html" TargetMode="External" /><Relationship Type="http://schemas.openxmlformats.org/officeDocument/2006/relationships/hyperlink" Id="rId28" Target="http://www.amac.org.cn/xhdt/zxdt/385672.shtml" TargetMode="External" /><Relationship Type="http://schemas.openxmlformats.org/officeDocument/2006/relationships/hyperlink" Id="rId21" Target="http://www.charltonslaw.com.cn/china-news-alerts-cn-issue-397/" TargetMode="External" /><Relationship Type="http://schemas.openxmlformats.org/officeDocument/2006/relationships/hyperlink" Id="rId42" Target="http://www.circ.gov.cn/web/site0/tab5168/info3907207.htm" TargetMode="External" /><Relationship Type="http://schemas.openxmlformats.org/officeDocument/2006/relationships/hyperlink" Id="rId68" Target="http://www.gov.cn/zhengce/content/2014-03/11/content_8709.htm" TargetMode="External" /><Relationship Type="http://schemas.openxmlformats.org/officeDocument/2006/relationships/hyperlink" Id="rId45" Target="http://www.mca.gov.cn/article/zwgk/fvfg/shflhshsw/201403/20140300600030.shtml" TargetMode="External" /><Relationship Type="http://schemas.openxmlformats.org/officeDocument/2006/relationships/hyperlink" Id="rId32" Target="http://www.miit.gov.cn/n11293472/n11293832/n12843926/n13917012/15917061.html" TargetMode="External" /><Relationship Type="http://schemas.openxmlformats.org/officeDocument/2006/relationships/hyperlink" Id="rId71" Target="http://zbw.sh.gov.cn/WebViewPublic/item_page.aspx?newsid=635302136380532823&amp;coltype=8" TargetMode="External" /><Relationship Type="http://schemas.openxmlformats.org/officeDocument/2006/relationships/hyperlink" Id="rId7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2" Target="11.pdf" TargetMode="External" /><Relationship Type="http://schemas.openxmlformats.org/officeDocument/2006/relationships/hyperlink" Id="rId65" Target="12.pdf" TargetMode="External" /><Relationship Type="http://schemas.openxmlformats.org/officeDocument/2006/relationships/hyperlink" Id="rId69" Target="13.pdf" TargetMode="External" /><Relationship Type="http://schemas.openxmlformats.org/officeDocument/2006/relationships/hyperlink" Id="rId72" Target="14.pdf" TargetMode="External" /><Relationship Type="http://schemas.openxmlformats.org/officeDocument/2006/relationships/hyperlink" Id="rId74" Target="14a.pdf" TargetMode="External" /><Relationship Type="http://schemas.openxmlformats.org/officeDocument/2006/relationships/hyperlink" Id="rId77" Target="15.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39" Target="4a.pdf" TargetMode="External" /><Relationship Type="http://schemas.openxmlformats.org/officeDocument/2006/relationships/hyperlink" Id="rId43" Target="5.pdf" TargetMode="External" /><Relationship Type="http://schemas.openxmlformats.org/officeDocument/2006/relationships/hyperlink" Id="rId46" Target="6.pdf" TargetMode="External" /><Relationship Type="http://schemas.openxmlformats.org/officeDocument/2006/relationships/hyperlink" Id="rId50" Target="7.pdf" TargetMode="External" /><Relationship Type="http://schemas.openxmlformats.org/officeDocument/2006/relationships/hyperlink" Id="rId53" Target="8.pdf" TargetMode="External" /><Relationship Type="http://schemas.openxmlformats.org/officeDocument/2006/relationships/hyperlink" Id="rId56" Target="9.pdf" TargetMode="External" /><Relationship Type="http://schemas.openxmlformats.org/officeDocument/2006/relationships/hyperlink" Id="rId52" Target="http://epaper.stcn.com/paper/zqsb/html/epaper/index/content_551653.htm" TargetMode="External" /><Relationship Type="http://schemas.openxmlformats.org/officeDocument/2006/relationships/hyperlink" Id="rId49" Target="http://epaper.stcn.com/paper/zqsb/html/epaper/index/content_551654.htm" TargetMode="External" /><Relationship Type="http://schemas.openxmlformats.org/officeDocument/2006/relationships/hyperlink" Id="rId55" Target="http://epaper.stcn.com/paper/zqsb/html/epaper/index/content_551827.htm" TargetMode="External" /><Relationship Type="http://schemas.openxmlformats.org/officeDocument/2006/relationships/hyperlink" Id="rId25" Target="http://epaper.stcn.com/paper/zqsb/html/epaper/index/content_552510.htm" TargetMode="External" /><Relationship Type="http://schemas.openxmlformats.org/officeDocument/2006/relationships/hyperlink" Id="rId58" Target="http://epaper.stcn.com/paper/zqsb/html/epaper/index/content_552996.htm" TargetMode="External" /><Relationship Type="http://schemas.openxmlformats.org/officeDocument/2006/relationships/hyperlink" Id="rId61" Target="http://epaper.stcn.com/paper/zqsb/html/epaper/index/content_552998.htm" TargetMode="External" /><Relationship Type="http://schemas.openxmlformats.org/officeDocument/2006/relationships/hyperlink" Id="rId38" Target="http://epaper.stcn.com/paper/zqsb/html/epaper/index/content_553010.htm" TargetMode="External" /><Relationship Type="http://schemas.openxmlformats.org/officeDocument/2006/relationships/hyperlink" Id="rId64" Target="http://epaper.stcn.com/paper/zqsb/html/epaper/index/content_553297.htm" TargetMode="External" /><Relationship Type="http://schemas.openxmlformats.org/officeDocument/2006/relationships/hyperlink" Id="rId73" Target="http://kuaixun.stcn.com/2014/0313/11245495.shtml" TargetMode="External" /><Relationship Type="http://schemas.openxmlformats.org/officeDocument/2006/relationships/hyperlink" Id="rId76" Target="http://money.163.com/14/0312/08/9N4GN6G600251LK6.html" TargetMode="External" /><Relationship Type="http://schemas.openxmlformats.org/officeDocument/2006/relationships/hyperlink" Id="rId36" Target="http://szs.mof.gov.cn/zhengwuxinxi/zhengcefabu/201402/t20140224_1046354.html" TargetMode="External" /><Relationship Type="http://schemas.openxmlformats.org/officeDocument/2006/relationships/hyperlink" Id="rId28" Target="http://www.amac.org.cn/xhdt/zxdt/385672.shtml" TargetMode="External" /><Relationship Type="http://schemas.openxmlformats.org/officeDocument/2006/relationships/hyperlink" Id="rId21" Target="http://www.charltonslaw.com.cn/china-news-alerts-cn-issue-397/" TargetMode="External" /><Relationship Type="http://schemas.openxmlformats.org/officeDocument/2006/relationships/hyperlink" Id="rId42" Target="http://www.circ.gov.cn/web/site0/tab5168/info3907207.htm" TargetMode="External" /><Relationship Type="http://schemas.openxmlformats.org/officeDocument/2006/relationships/hyperlink" Id="rId68" Target="http://www.gov.cn/zhengce/content/2014-03/11/content_8709.htm" TargetMode="External" /><Relationship Type="http://schemas.openxmlformats.org/officeDocument/2006/relationships/hyperlink" Id="rId45" Target="http://www.mca.gov.cn/article/zwgk/fvfg/shflhshsw/201403/20140300600030.shtml" TargetMode="External" /><Relationship Type="http://schemas.openxmlformats.org/officeDocument/2006/relationships/hyperlink" Id="rId32" Target="http://www.miit.gov.cn/n11293472/n11293832/n12843926/n13917012/15917061.html" TargetMode="External" /><Relationship Type="http://schemas.openxmlformats.org/officeDocument/2006/relationships/hyperlink" Id="rId71" Target="http://zbw.sh.gov.cn/WebViewPublic/item_page.aspx?newsid=635302136380532823&amp;coltype=8" TargetMode="External" /><Relationship Type="http://schemas.openxmlformats.org/officeDocument/2006/relationships/hyperlink" Id="rId7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第397期 - 2014年03月14日</dc:title>
  <dc:creator/>
</cp:coreProperties>
</file>