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第398期</w:t>
      </w:r>
      <w:r>
        <w:t xml:space="preserve"> </w:t>
      </w:r>
      <w:r>
        <w:t xml:space="preserve">-</w:t>
      </w:r>
      <w:r>
        <w:t xml:space="preserve"> </w:t>
      </w:r>
      <w:r>
        <w:t xml:space="preserve">2014年03月21日</w:t>
      </w:r>
    </w:p>
    <w:p>
      <w:hyperlink r:id="rId21">
        <w:r>
          <w:rPr>
            <w:rStyle w:val="Link"/>
          </w:rPr>
          <w:t xml:space="preserve">网络版</w:t>
        </w:r>
      </w:hyperlink>
    </w:p>
    <w:p>
      <w:pPr>
        <w:pStyle w:val="Heading1"/>
      </w:pPr>
      <w:bookmarkStart w:id="22" w:name="法讯中国第398期"/>
      <w:bookmarkEnd w:id="22"/>
      <w:r>
        <w:t xml:space="preserve">法讯中国第398期</w:t>
      </w:r>
    </w:p>
    <w:p>
      <w:pPr>
        <w:pStyle w:val="Heading2"/>
      </w:pPr>
      <w:bookmarkStart w:id="23" w:name="资本市场"/>
      <w:bookmarkEnd w:id="23"/>
      <w:r>
        <w:t xml:space="preserve">资本市场</w:t>
      </w:r>
    </w:p>
    <w:p>
      <w:pPr>
        <w:pStyle w:val="Heading3"/>
      </w:pPr>
      <w:bookmarkStart w:id="24" w:name="银监会公布修订后的金融租赁公司管理办法"/>
      <w:bookmarkEnd w:id="24"/>
      <w:r>
        <w:t xml:space="preserve">银监会公布修订后的《金融租赁公司管理办法》</w:t>
      </w:r>
    </w:p>
    <w:p>
      <w:r>
        <w:t xml:space="preserve">银监会官网3月17日消息，3月13日，银监会公布修订后的《金融租赁公司管理办法》（以下简称《办法》），《办法》自公布之日起实施。</w:t>
      </w:r>
    </w:p>
    <w:p>
      <w:r>
        <w:t xml:space="preserve">《办法》主要对金融租赁公司的准入条件、业务范围、经营规则及监督管理等内容进行了修订完善。《办法》将主要出资人制度调整为发起人制度，不再区分主要出资人和一般出资人，取消了主要出资人出资占比50%以上的规定。同时，《办法》明确，发起人中应至少包括一家符合条件的商业银行、制造企业或境外融资租赁公司，且其出资比例不低于拟设金融租赁公司全部股本的30%。</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银监会发文降低农村中小金融机构审批门槛"/>
      <w:bookmarkEnd w:id="27"/>
      <w:r>
        <w:t xml:space="preserve">银监会发文降低农村中小金融机构审批门槛</w:t>
      </w:r>
    </w:p>
    <w:p>
      <w:r>
        <w:t xml:space="preserve">经公开征求意见，银监会3月19日发布《中国银监会农村中小金融机构行政许可事项实施办法》（以下简称《办法》）。</w:t>
      </w:r>
    </w:p>
    <w:p>
      <w:r>
        <w:t xml:space="preserve">《办法》所称农村中小金融机构包括：农村商业银行、农村合作银行、农村信用社、村镇银行、贷款公司、农村资金互助社等。</w:t>
      </w:r>
    </w:p>
    <w:p>
      <w:r>
        <w:t xml:space="preserve">《办法》简化了农村商业银行和农村信用联社的组建条件，并下放部分机构、业务和高管人员审批权限。在机构和业务准入条件中，明确了信息科技监管要求，促进提高信息科技风险管控水平；在对外投资条件方面，特别强化了风险识别、监测、分析和控制等要求，严防跨行业风险传染。</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企业会计准则第2号--长期股权投资修订印发"/>
      <w:bookmarkEnd w:id="30"/>
      <w:r>
        <w:t xml:space="preserve">《企业会计准则第2号--长期股权投资》修订印发</w:t>
      </w:r>
    </w:p>
    <w:p>
      <w:r>
        <w:t xml:space="preserve">财政部官网3月19日消息，财政部日前修订并印发了《企业会计准则第2号——长期股权投资》（以下简称《准则》），自2014年7月1日起在所有执行企业会计准则的企业范围内施行。</w:t>
      </w:r>
    </w:p>
    <w:p>
      <w:r>
        <w:t xml:space="preserve">《准则》明确，长期股权投资，是指投资方对被投资单位实施控制、重大影响的权益性投资，以及对其合营企业的权益性投资。</w:t>
      </w:r>
    </w:p>
    <w:p>
      <w:r>
        <w:t xml:space="preserve">《准则》还明确了企业确定长期股权投资的初始投资成本的方法。此外，《准则》规定，采用成本法核算的长期股权投资应当按照初始投资成本计价。</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上交所发布2013年自律监管工作报告"/>
      <w:bookmarkEnd w:id="33"/>
      <w:r>
        <w:t xml:space="preserve">上交所发布《2013年自律监管工作报告》</w:t>
      </w:r>
    </w:p>
    <w:p>
      <w:r>
        <w:t xml:space="preserve">上交所3月18日发布《2013年自律监管工作报告》。报告指出，对违规事实明确的异常交易，上交所不再采取自律监管措施，尝试直接作为案件线索上报证监会查处。</w:t>
      </w:r>
    </w:p>
    <w:p>
      <w:r>
        <w:t xml:space="preserve">报告从七方面总结了2013年上交所自律监管的工作重点。一是以规则制度完善和加大惩处力度为抓手，推动市场法制化、透明化、规范化。二是以实施信息披露直通车为核心，推进上市公司监管转型。三是加强会员自律管理，积极探索建立创新业务风险监测机制。四是强化证券市场交易监管，积极开展新业务和跨市场监管。五是积极推进基金市场发展，稳步实现期权全真模拟交易上线。六是扎实推进债券市场建设，强化风险防范机制。七是围绕上交所创新业务发展，深入开展投资者教育与保护。</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上交所提高境外投资者持股限制预警值至26"/>
      <w:bookmarkEnd w:id="36"/>
      <w:r>
        <w:t xml:space="preserve">上交所提高境外投资者持股限制预警值至26%</w:t>
      </w:r>
    </w:p>
    <w:p>
      <w:r>
        <w:t xml:space="preserve">3月19日，上交所发布修订后的《合格境外机构投资者和人民币合格境外机构投资者证券交易实施细则》（以下简称《细则》）。</w:t>
      </w:r>
    </w:p>
    <w:p>
      <w:r>
        <w:t xml:space="preserve">修订后的《细则》扩大了适用范围，将合格境外机构投资者、人民币合格境外机构投资者一并纳入了监管范围。根据《细则》，上交所将所有境外投资者持股限制的预警值由16%提高到26%，单个境外投资者的持股限制不变。同时，所有境外投资者对单个上市公司A股的持股比例总和，不超过该上市公司股份总数的30%。</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行业"/>
      <w:bookmarkEnd w:id="39"/>
      <w:r>
        <w:t xml:space="preserve">行业</w:t>
      </w:r>
    </w:p>
    <w:p>
      <w:pPr>
        <w:pStyle w:val="Heading3"/>
      </w:pPr>
      <w:bookmarkStart w:id="40" w:name="国务院印发关于加快发展对外文化贸易的意见"/>
      <w:bookmarkEnd w:id="40"/>
      <w:r>
        <w:t xml:space="preserve">国务院印发《关于加快发展对外文化贸易的意见》</w:t>
      </w:r>
    </w:p>
    <w:p>
      <w:r>
        <w:t xml:space="preserve">3月17日，国务院发布了《关于加快发展对外文化贸易的意见》（以下简称《意见》）。</w:t>
      </w:r>
    </w:p>
    <w:p>
      <w:r>
        <w:t xml:space="preserve">《意见》要求，各地要鼓励和支持国有、民营、外资等各种所有制文化企业从事国家法律法规允许经营的对外文化贸易业务，并给予同等待遇。此外，《意见》明确指出，财税部门要对国家重点鼓励的文化产品出口实行增值税零税率及营业税免税政策。</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中办国办餐饮企业不得设置最低消费额"/>
      <w:bookmarkEnd w:id="43"/>
      <w:r>
        <w:t xml:space="preserve">中办国办：餐饮企业不得设置最低消费额</w:t>
      </w:r>
    </w:p>
    <w:p>
      <w:r>
        <w:t xml:space="preserve">中央政府门户网站3月18日消息，近日，中共中央办公厅、国务院办公厅印发了《关于厉行节约反对食品浪费的意见》（以下简称《意见》）。</w:t>
      </w:r>
    </w:p>
    <w:p>
      <w:r>
        <w:t xml:space="preserve">《意见》就厉行节约反对食品浪费提出了八项指导意见。《意见》要求，餐饮企业要积极引导消费者节约用餐，菜单上应准确标注菜量，不得设置最低消费额。同时，商务部门要制定餐饮业服务规范，加快建立健全餐饮业标准体系，会同财政等部门研究建立餐饮企业反对食品浪费工作奖惩制度。</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天然气基础设施建设与运营管理办法4月1日起施行"/>
      <w:bookmarkEnd w:id="46"/>
      <w:r>
        <w:t xml:space="preserve">《天然气基础设施建设与运营管理办法》4月1日起施行</w:t>
      </w:r>
    </w:p>
    <w:p>
      <w:r>
        <w:t xml:space="preserve">经公开征求意见，发改委3月20日正式发布《天然气基础设施建设与运营管理办法》，自2014年4月1日起施行。</w:t>
      </w:r>
    </w:p>
    <w:p>
      <w:r>
        <w:t xml:space="preserve">《办法》所称天然气包括天然气、煤层气、页岩气和煤制气等。适用于天然气基础设施规划和建设、天然气基础设施运营和服务，天然气运行调节和应急保障及相关管理活动等。</w:t>
      </w:r>
    </w:p>
    <w:p>
      <w:r>
        <w:t xml:space="preserve">《办法》提出：天然气可实行居民用气阶梯价格、季节性差价、可中断气价等差别性价格政策。天然气销售企业应当建立天然气储备，到2020 年拥有不低于其年合同销售量10%的工作气量，以满足所供应市场的季节（月）调峰以及发生天然气供应中断等应急状况时的用气要求。</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知识产权"/>
      <w:bookmarkEnd w:id="49"/>
      <w:r>
        <w:t xml:space="preserve">知识产权</w:t>
      </w:r>
    </w:p>
    <w:p>
      <w:pPr>
        <w:pStyle w:val="Heading3"/>
      </w:pPr>
      <w:bookmarkStart w:id="50" w:name="国家知识产权局修改专利审查指南"/>
      <w:bookmarkEnd w:id="50"/>
      <w:r>
        <w:t xml:space="preserve">国家知识产权局修改《专利审查指南》</w:t>
      </w:r>
    </w:p>
    <w:p>
      <w:r>
        <w:t xml:space="preserve">国家知识产权局官网3月17日消息，3月12日，国家知识产权局发布《关于修改〈专利审查指南〉的决定》（第68号），自2014年5月1日起施行。</w:t>
      </w:r>
    </w:p>
    <w:p>
      <w:r>
        <w:t xml:space="preserve">《决定》删除了《专利审查指南》第一部分第三章第7.2节第三段最后一句“产品的图案应当是固定的、可见的，而不应是时有时无的或者需要在特定的条件下才能看见的。”</w:t>
      </w:r>
    </w:p>
    <w:p>
      <w:r>
        <w:t xml:space="preserve">并在《专利审查指南》第四部分第五章第6.1节第二段第（4）项之后新增一项：对于包括图形用户界面的产品外观设计，如果涉案专利其余部分的设计为惯常设计，其图形用户界面对整体视觉效果更具有显著的影响。</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保险"/>
      <w:bookmarkEnd w:id="53"/>
      <w:r>
        <w:t xml:space="preserve">保险</w:t>
      </w:r>
    </w:p>
    <w:p>
      <w:pPr>
        <w:pStyle w:val="Heading3"/>
      </w:pPr>
      <w:bookmarkStart w:id="54" w:name="保监会明确外资保险公司与其关联企业从事再保险交易有关问题"/>
      <w:bookmarkEnd w:id="54"/>
      <w:r>
        <w:t xml:space="preserve">保监会明确外资保险公司与其关联企业从事再保险交易有关问题</w:t>
      </w:r>
    </w:p>
    <w:p>
      <w:r>
        <w:t xml:space="preserve">保监会官网3月19日消息，近日，保监会发布了《关于外资保险公司与其关联企业从事再保险交易有关问题的通知》（以下简称《通知》）。</w:t>
      </w:r>
    </w:p>
    <w:p>
      <w:r>
        <w:t xml:space="preserve">根据《通知》，外资保险公司与其关联企业从事再保险的分出或分入业务应当报保监会批准。</w:t>
      </w:r>
    </w:p>
    <w:p>
      <w:r>
        <w:t xml:space="preserve">《通知》明确了与外资保险公司发生再保险业务合作的关联企业应当具备的五项条件。其中，关联企业须持续经营三个以上完整的会计年度，最近三个会计年度盈利和亏损相抵后整体经营为净盈利，且现金流未出现异常波动。</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保监会与北京市政府联合发文推动北京保险产业园创新发展"/>
      <w:bookmarkEnd w:id="57"/>
      <w:r>
        <w:t xml:space="preserve">保监会与北京市政府联合发文推动北京保险产业园创新发展</w:t>
      </w:r>
    </w:p>
    <w:p>
      <w:r>
        <w:t xml:space="preserve">保监会官网3月19日消息，近日，保监会、北京市人民政府联合印发了《关于加快推动北京保险产业园创新发展的意见》（以下简称《意见》）。</w:t>
      </w:r>
    </w:p>
    <w:p>
      <w:r>
        <w:t xml:space="preserve">《意见》明确了北京保险产业园创新发展的总体目标及具体措施。《意见》指出，保险部门及北京市各有关单位要积极推进保险业发展方式战略转型，以市场化手段促进保险业发展方式转变。同时，《意见》支持符合条件的国有资本、民营资本和境外资本投资保险公司，鼓励市场主体探索设立信用保险专业机构，支持符合条件的保险集团、保险公司开展金融综合改革试点。</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2"/>
      </w:pPr>
      <w:bookmarkStart w:id="60" w:name="房地产"/>
      <w:bookmarkEnd w:id="60"/>
      <w:r>
        <w:t xml:space="preserve">房地产</w:t>
      </w:r>
    </w:p>
    <w:p>
      <w:pPr>
        <w:pStyle w:val="Heading3"/>
      </w:pPr>
      <w:bookmarkStart w:id="61" w:name="地产股再融资确定开闸-中茵股份天保基建首获批"/>
      <w:bookmarkEnd w:id="61"/>
      <w:r>
        <w:t xml:space="preserve">地产股再融资确定开闸 中茵股份、天保基建首获批</w:t>
      </w:r>
    </w:p>
    <w:p>
      <w:r>
        <w:t xml:space="preserve">3月19日，中茵股份和天保基建两家房企的非公开发行股票预案，双双获得证监会无条件核准。近一个月来，外高桥和海印股份有关土地和商业项目开发的定增方案，也先后获得了证监会核准。这意味着自2010年起尘封多年的房企再融资，终于正式开闸。</w:t>
      </w:r>
    </w:p>
    <w:p>
      <w:r>
        <w:t xml:space="preserve">2013年8月、9月，中茵股份和天保基建先后公告定增预案。其中，中茵股份拟募集不超过17.15亿元，募投项目涵盖商住两用且分两期进行；天保基建拟募集不超过15.5亿元，用于三个住宅项目和补充流动资金。</w:t>
      </w:r>
    </w:p>
    <w:p>
      <w:r>
        <w:t xml:space="preserve">中茵股份募集资金目标是用于公司全资子公司江苏中茵置业有限公司之控股公司徐州中茵置业有限公司(持股比例为70%)“徐州中茵广场项目”的开发与营运。天保基建募集资金标的是其在天津的天保房地产空港商业区住宅项目(一期)、天保金海岸D 06住宅项目和天保金海岸D 07住宅项目，均为传统的商品房开发项目。这就意味着，此次房地产开闸不像之前传言仅向城镇化等保障房开闸，而是面向所有房地产项目。</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r>
        <w:t xml:space="preserve"> </w:t>
      </w:r>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2"/>
      </w:pPr>
      <w:bookmarkStart w:id="66" w:name="wto"/>
      <w:bookmarkEnd w:id="66"/>
      <w:r>
        <w:t xml:space="preserve">WTO</w:t>
      </w:r>
    </w:p>
    <w:p>
      <w:pPr>
        <w:pStyle w:val="Heading3"/>
      </w:pPr>
      <w:bookmarkStart w:id="67" w:name="美国拟对中国钢产品征收反补贴税"/>
      <w:bookmarkEnd w:id="67"/>
      <w:r>
        <w:t xml:space="preserve">美国拟对中国钢产品征收反补贴税</w:t>
      </w:r>
    </w:p>
    <w:p>
      <w:r>
        <w:t xml:space="preserve">美国商务部3月19日宣布初裁结果，认定从中国大陆和台湾地区进口的无取向电工钢获得超额政府补贴，拟征收反补贴税。</w:t>
      </w:r>
    </w:p>
    <w:p>
      <w:r>
        <w:t xml:space="preserve">美国商务部当天发表声明说，初步认定中国大陆出口到美国的无取向电工钢得到的政府补贴幅度为125.83％，台湾地区出口商得到的政府补贴幅度为0.15％至12.82％，韩国出口商得到的政府补贴幅度为0.59％。美国要求发展中国家补贴幅度不超过2％，发达国家不超过1％。</w:t>
      </w:r>
    </w:p>
    <w:p>
      <w:r>
        <w:t xml:space="preserve">基于补贴幅度的初裁结果，美国商务部将通知美国海关对中国大陆和台湾地区出口的上述产品征收相应的反补贴押金。按照美方程序，正式征收反补贴税之前，美国商务部还要作出终裁，此外还需另一家联邦机构美国国际贸易委员会作出裁决。</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2"/>
      </w:pPr>
      <w:bookmarkStart w:id="70" w:name="并购"/>
      <w:bookmarkEnd w:id="70"/>
      <w:r>
        <w:t xml:space="preserve">并购</w:t>
      </w:r>
    </w:p>
    <w:p>
      <w:pPr>
        <w:pStyle w:val="Heading3"/>
      </w:pPr>
      <w:bookmarkStart w:id="71" w:name="利欧股份并购media-v进军数字营销"/>
      <w:bookmarkEnd w:id="71"/>
      <w:r>
        <w:t xml:space="preserve">利欧股份并购Media V进军数字营销</w:t>
      </w:r>
    </w:p>
    <w:p>
      <w:r>
        <w:t xml:space="preserve">利欧股份3月17日公告，将以收购数字营销公司Media V（上海聚胜万合广告有限公司）为契机，进军互联网领域。</w:t>
      </w:r>
    </w:p>
    <w:p>
      <w:r>
        <w:t xml:space="preserve">利欧股份将以自有资金及银行贷款，共计3.44亿元收购郑晓东、段永玲和郭海三位自然人持有的上海漫酷广告有限公司85%的股权。同时，利欧股份将向上海漫酷的全资子公司Media V提供1.5亿元资金，支持其继续扩大业务。</w:t>
      </w:r>
    </w:p>
    <w:p>
      <w:r>
        <w:t xml:space="preserve">根据本次收购协议，股权转让方承诺上海漫酷在2014、2015和2016年度分别实现不少于4700万元、6000万元和7300万元的扣非后净利润。同时，在本次收购85%股权后，若上海漫酷2016年度的税后净利润达到或超过约定的当年度业绩承诺指标的90%，则利欧股份将于2017年收购上海漫酷剩余的15%股权。</w:t>
      </w:r>
    </w:p>
    <w:p>
      <w:hyperlink r:id="rId72">
        <w:r>
          <w:rPr>
            <w:rStyle w:val="Link"/>
          </w:rPr>
          <w:t xml:space="preserve">来源</w:t>
        </w:r>
      </w:hyperlink>
      <w:r>
        <w:t xml:space="preserve"> </w:t>
      </w:r>
      <w:r>
        <w:t xml:space="preserve">(</w:t>
      </w:r>
      <w:hyperlink r:id="rId73">
        <w:r>
          <w:rPr>
            <w:rStyle w:val="Link"/>
          </w:rPr>
          <w:t xml:space="preserve">副本</w:t>
        </w:r>
      </w:hyperlink>
      <w:r>
        <w:t xml:space="preserve">)</w:t>
      </w:r>
    </w:p>
    <w:p>
      <w:pPr>
        <w:pStyle w:val="Heading3"/>
      </w:pPr>
      <w:bookmarkStart w:id="74" w:name="中南重工启动10亿收购跨入影视圈"/>
      <w:bookmarkEnd w:id="74"/>
      <w:r>
        <w:t xml:space="preserve">中南重工启动10亿收购跨入影视圈</w:t>
      </w:r>
    </w:p>
    <w:p>
      <w:r>
        <w:t xml:space="preserve">中南重工3月19日披露资产重组预案，公司计划以定增加现金的方式收购大唐辉煌传媒股份有限公司100%股权。</w:t>
      </w:r>
    </w:p>
    <w:p>
      <w:r>
        <w:t xml:space="preserve">收购标的大唐辉煌预估值为10亿元。中南重工将向中植资本、嘉诚资本支付股份对价收购大唐辉煌30.47%的股权。同时，向大唐辉煌其余44位股东支付部分股份对价及部分现金对价，收购大唐辉煌69.53%的股权，其中现金对价占25%。</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2"/>
      </w:pPr>
      <w:bookmarkStart w:id="77" w:name="其他"/>
      <w:bookmarkEnd w:id="77"/>
      <w:r>
        <w:t xml:space="preserve">其他</w:t>
      </w:r>
    </w:p>
    <w:p>
      <w:pPr>
        <w:pStyle w:val="Heading3"/>
      </w:pPr>
      <w:bookmarkStart w:id="78" w:name="新型城镇化规划发布"/>
      <w:bookmarkEnd w:id="78"/>
      <w:r>
        <w:t xml:space="preserve">新型城镇化规划发布</w:t>
      </w:r>
    </w:p>
    <w:p>
      <w:r>
        <w:t xml:space="preserve">3月16日，中共中央、国务院印发了《国家新型城镇化规划（2014－2020年）》（以下简称《规划》），并发出通知，要求各地区各部门结合实际认真贯彻执行。</w:t>
      </w:r>
    </w:p>
    <w:p>
      <w:r>
        <w:t xml:space="preserve">《规划》发展目标要求实现城镇化水平和质量稳步提升。城镇化健康有序发展，常住人口城镇化率达到60%左右，户籍人口城镇化率达到45%左右，户籍人口城镇化率与常住人口城镇化率差距缩小2个百分点左右，努力实现1亿左右农业转移人口和其他常住人口在城镇落户。逐步使符合条件的农业转移人口落户城镇，不仅要放开小城镇落户限制，也要放宽大中城市落户条件。</w:t>
      </w:r>
    </w:p>
    <w:p>
      <w:r>
        <w:t xml:space="preserve">《规划》要求推进智慧城市建设，统筹城市发展的物质资源、信息资源和智力资源利用，推动物联网、云计算、大数据等新一代信息技术创新应用，实现与城市经济社会发展深度融合。强化信息网络、数据中心等信息基础设施建设。促进跨部门、跨行业、跨地区的政务信息共享和业务协同，强化信息资源社会化开发利用，推广智慧化信息应用和新型信息服务，促进城市规划管理信息化、基础设施智能化、公共服务便捷化、产业发展现代化、社会治理精细化。</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3"/>
      </w:pPr>
      <w:bookmarkStart w:id="81" w:name="海关报关单位注册登记管理规定发布"/>
      <w:bookmarkEnd w:id="81"/>
      <w:r>
        <w:t xml:space="preserve">海关报关单位注册登记管理规定发布</w:t>
      </w:r>
    </w:p>
    <w:p>
      <w:r>
        <w:t xml:space="preserve">海关总署官网3月18日消息，3月13日，海关总署发布《海关报关单位注册登记管理规定》（海关总署第221号令），自公布之日起施行。</w:t>
      </w:r>
    </w:p>
    <w:p>
      <w:r>
        <w:t xml:space="preserve">《规定》明确了报关企业注册登记、进出口货物收发货人注册登记、报关单位的管理等事项。</w:t>
      </w:r>
    </w:p>
    <w:p>
      <w:r>
        <w:t xml:space="preserve">《规定》指出，报关企业注册登记许可期限为2年。被许可人需要延续注册登记许可有效期的，应当在有效期届满40日前向海关提出延续申请。《规定》还明确了报关单位违反相关规定所应承担的法律责任。</w:t>
      </w:r>
    </w:p>
    <w:p>
      <w:hyperlink r:id="rId82">
        <w:r>
          <w:rPr>
            <w:rStyle w:val="Link"/>
          </w:rPr>
          <w:t xml:space="preserve">来源</w:t>
        </w:r>
      </w:hyperlink>
      <w:r>
        <w:t xml:space="preserve"> </w:t>
      </w:r>
      <w:r>
        <w:t xml:space="preserve">(</w:t>
      </w:r>
      <w:hyperlink r:id="rId83">
        <w:r>
          <w:rPr>
            <w:rStyle w:val="Link"/>
          </w:rPr>
          <w:t xml:space="preserve">副本</w:t>
        </w:r>
      </w:hyperlink>
      <w:r>
        <w:t xml:space="preserve">)</w:t>
      </w:r>
    </w:p>
    <w:p>
      <w:pPr>
        <w:pStyle w:val="Heading3"/>
      </w:pPr>
      <w:bookmarkStart w:id="84" w:name="海关进出口货物报关单修改和撤销管理办法发布"/>
      <w:bookmarkEnd w:id="84"/>
      <w:r>
        <w:t xml:space="preserve">海关进出口货物报关单修改和撤销管理办法发布</w:t>
      </w:r>
    </w:p>
    <w:p>
      <w:r>
        <w:t xml:space="preserve">3月13日，海关总署发布《海关进出口货物报关单修改和撤销管理办法》（海关总署第220号令），自公布之日起施行。</w:t>
      </w:r>
    </w:p>
    <w:p>
      <w:r>
        <w:t xml:space="preserve">进出口货物收发货人或者其代理人修改或者撤销进出口货物报关单，以及海关要求对进出口货物报关单进行修改或者撤销的，适用本办法。《办法》对进出口货物收发货人修改或撤销报关单的情形、应提交的相关单据做了统一规范。</w:t>
      </w:r>
    </w:p>
    <w:p>
      <w:r>
        <w:t xml:space="preserve">《办法》指出，由于修改或者撤销进出口货物报关单导致需要变更、补办进出口许可证件的，当事人应当向海关提交相应的进出口许可证件。进出境备案清单的修改、撤销，参照本办法执行。</w:t>
      </w:r>
    </w:p>
    <w:p>
      <w:hyperlink r:id="rId85">
        <w:r>
          <w:rPr>
            <w:rStyle w:val="Link"/>
          </w:rPr>
          <w:t xml:space="preserve">来源</w:t>
        </w:r>
      </w:hyperlink>
      <w:r>
        <w:t xml:space="preserve"> </w:t>
      </w:r>
      <w:r>
        <w:t xml:space="preserve">(</w:t>
      </w:r>
      <w:hyperlink r:id="rId86">
        <w:r>
          <w:rPr>
            <w:rStyle w:val="Link"/>
          </w:rPr>
          <w:t xml:space="preserve">副本</w:t>
        </w:r>
      </w:hyperlink>
      <w:r>
        <w:t xml:space="preserve">)</w:t>
      </w:r>
    </w:p>
    <w:p>
      <w:pPr>
        <w:pStyle w:val="Heading3"/>
      </w:pPr>
      <w:bookmarkStart w:id="87" w:name="海关总署公布进口货物直接退运管理新办法"/>
      <w:bookmarkEnd w:id="87"/>
      <w:r>
        <w:t xml:space="preserve">海关总署公布进口货物直接退运管理新办法</w:t>
      </w:r>
    </w:p>
    <w:p>
      <w:r>
        <w:t xml:space="preserve">3月12日，海关总署公布了《中华人民共和国海关进口货物直接退运管理办法》（以下简称《办法》），《办法》自公布之日起实施。</w:t>
      </w:r>
    </w:p>
    <w:p>
      <w:r>
        <w:t xml:space="preserve">《办法》规定，货物进境后、办结海关放行手续前，进口货物收发货人、原运输工具负责人或者其代理人（以下统称当事人）将全部或者部分货物直接退运境外，以及海关根据国家有关规定责令直接退运的，适用本办法。同时，《办法》明确了当事人可以向货物所在地海关办理直接退运手续的五种具体情形。</w:t>
      </w:r>
    </w:p>
    <w:p>
      <w:hyperlink r:id="rId88">
        <w:r>
          <w:rPr>
            <w:rStyle w:val="Link"/>
          </w:rPr>
          <w:t xml:space="preserve">来源</w:t>
        </w:r>
      </w:hyperlink>
      <w:r>
        <w:t xml:space="preserve"> </w:t>
      </w:r>
      <w:r>
        <w:t xml:space="preserve">(</w:t>
      </w:r>
      <w:hyperlink r:id="rId89">
        <w:r>
          <w:rPr>
            <w:rStyle w:val="Link"/>
          </w:rPr>
          <w:t xml:space="preserve">副本</w:t>
        </w:r>
      </w:hyperlink>
      <w:r>
        <w:t xml:space="preserve">)</w:t>
      </w:r>
    </w:p>
    <w:p>
      <w:pPr>
        <w:pStyle w:val="Heading3"/>
      </w:pPr>
      <w:bookmarkStart w:id="90" w:name="海关总署公布海关加工贸易货物监管办法"/>
      <w:bookmarkEnd w:id="90"/>
      <w:r>
        <w:t xml:space="preserve">海关总署公布《海关加工贸易货物监管办法》</w:t>
      </w:r>
    </w:p>
    <w:p>
      <w:r>
        <w:t xml:space="preserve">3月12日，海关总署公布了《中华人民共和国海关加工贸易货物监管办法》（以下简称《办法》），《办法》自公布之日起实施。</w:t>
      </w:r>
    </w:p>
    <w:p>
      <w:r>
        <w:t xml:space="preserve">《办法》适用于办理加工贸易货物手册设立、进出口报关、加工、监管、核销手续。加工贸易经营企业、加工企业、承揽者应当按照《办法》规定接受海关监管。《办法》明确，海关按照国家规定对加工贸易货物实行担保制度。未经海关批准，加工贸易货物不得抵押。</w:t>
      </w:r>
    </w:p>
    <w:p>
      <w:hyperlink r:id="rId91">
        <w:r>
          <w:rPr>
            <w:rStyle w:val="Link"/>
          </w:rPr>
          <w:t xml:space="preserve">来源</w:t>
        </w:r>
      </w:hyperlink>
      <w:r>
        <w:t xml:space="preserve"> </w:t>
      </w:r>
      <w:r>
        <w:t xml:space="preserve">(</w:t>
      </w:r>
      <w:hyperlink r:id="rId9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3">
        <w:r>
          <w:rPr>
            <w:rStyle w:val="Link"/>
          </w:rPr>
          <w:t xml:space="preserve">unsubscribe@charltonslaw.com</w:t>
        </w:r>
      </w:hyperlink>
    </w:p>
    <w:p>
      <w:r>
        <w:rPr>
          <w:b/>
        </w:rPr>
        <w:t xml:space="preserve">易周律师行 - 法讯 - 中国 - 第398期 - 2014年03月21日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aa62b2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5" Target="12a.pdf" TargetMode="External" /><Relationship Type="http://schemas.openxmlformats.org/officeDocument/2006/relationships/hyperlink" Id="rId69" Target="13.pdf" TargetMode="External" /><Relationship Type="http://schemas.openxmlformats.org/officeDocument/2006/relationships/hyperlink" Id="rId73" Target="14.pdf" TargetMode="External" /><Relationship Type="http://schemas.openxmlformats.org/officeDocument/2006/relationships/hyperlink" Id="rId76" Target="15.pdf" TargetMode="External" /><Relationship Type="http://schemas.openxmlformats.org/officeDocument/2006/relationships/hyperlink" Id="rId80" Target="16.pdf" TargetMode="External" /><Relationship Type="http://schemas.openxmlformats.org/officeDocument/2006/relationships/hyperlink" Id="rId83" Target="17.pdf" TargetMode="External" /><Relationship Type="http://schemas.openxmlformats.org/officeDocument/2006/relationships/hyperlink" Id="rId86" Target="18.pdf" TargetMode="External" /><Relationship Type="http://schemas.openxmlformats.org/officeDocument/2006/relationships/hyperlink" Id="rId89" Target="19.pdf" TargetMode="External" /><Relationship Type="http://schemas.openxmlformats.org/officeDocument/2006/relationships/hyperlink" Id="rId29" Target="2.pdf" TargetMode="External" /><Relationship Type="http://schemas.openxmlformats.org/officeDocument/2006/relationships/hyperlink" Id="rId92" Target="20.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62" Target="http://epaper.stcn.com/paper/zqsb/html/2014-03/20/content_554716.htm" TargetMode="External" /><Relationship Type="http://schemas.openxmlformats.org/officeDocument/2006/relationships/hyperlink" Id="rId72" Target="http://epaper.stcn.com/paper/zqsb/html/epaper/index/content_553954.htm" TargetMode="External" /><Relationship Type="http://schemas.openxmlformats.org/officeDocument/2006/relationships/hyperlink" Id="rId75" Target="http://epaper.stcn.com/paper/zqsb/html/epaper/index/content_554667.htm" TargetMode="External" /><Relationship Type="http://schemas.openxmlformats.org/officeDocument/2006/relationships/hyperlink" Id="rId64" Target="http://fangchan.21cbh.com/2014/3-20/zMMDA1NjBfMTEwMzMzMA.html" TargetMode="External" /><Relationship Type="http://schemas.openxmlformats.org/officeDocument/2006/relationships/hyperlink" Id="rId31" Target="http://kjs.mof.gov.cn/zhengwuxinxi/zhengcefabu/201403/t20140319_1057127.html" TargetMode="External" /><Relationship Type="http://schemas.openxmlformats.org/officeDocument/2006/relationships/hyperlink" Id="rId25" Target="http://www.cbrc.gov.cn/chinese/home/docDOC_ReadView/9E195304AEAB4E918C3AC1EF7F2CB566.html" TargetMode="External" /><Relationship Type="http://schemas.openxmlformats.org/officeDocument/2006/relationships/hyperlink" Id="rId28" Target="http://www.cbrc.gov.cn/chinese/home/docView/92977B7381E348689FAEFEEA5AEAA9AA.html" TargetMode="External" /><Relationship Type="http://schemas.openxmlformats.org/officeDocument/2006/relationships/hyperlink" Id="rId21" Target="http://www.charltonslaw.com.cn/china-news-alerts-cn-issue-398/" TargetMode="External" /><Relationship Type="http://schemas.openxmlformats.org/officeDocument/2006/relationships/hyperlink" Id="rId55" Target="http://www.circ.gov.cn/web/site0/tab5168/info3910599.htm" TargetMode="External" /><Relationship Type="http://schemas.openxmlformats.org/officeDocument/2006/relationships/hyperlink" Id="rId58" Target="http://www.circ.gov.cn/web/site0/tab5168/info3910605.htm" TargetMode="External" /><Relationship Type="http://schemas.openxmlformats.org/officeDocument/2006/relationships/hyperlink" Id="rId91" Target="http://www.customs.gov.cn/publish/portal0/tab399/info700275.htm" TargetMode="External" /><Relationship Type="http://schemas.openxmlformats.org/officeDocument/2006/relationships/hyperlink" Id="rId85" Target="http://www.customs.gov.cn/publish/portal0/tab399/info700318.htm" TargetMode="External" /><Relationship Type="http://schemas.openxmlformats.org/officeDocument/2006/relationships/hyperlink" Id="rId88" Target="http://www.customs.gov.cn/publish/portal0/tab49564/info700175.htm" TargetMode="External" /><Relationship Type="http://schemas.openxmlformats.org/officeDocument/2006/relationships/hyperlink" Id="rId82" Target="http://www.customs.gov.cn/publish/portal0/tab49564/info700178.htm" TargetMode="External" /><Relationship Type="http://schemas.openxmlformats.org/officeDocument/2006/relationships/hyperlink" Id="rId79" Target="http://www.gov.cn/xinwen/2014-03/16/content_2639841.htm" TargetMode="External" /><Relationship Type="http://schemas.openxmlformats.org/officeDocument/2006/relationships/hyperlink" Id="rId44" Target="http://www.gov.cn/xinwen/2014-03/18/content_2641070.htm" TargetMode="External" /><Relationship Type="http://schemas.openxmlformats.org/officeDocument/2006/relationships/hyperlink" Id="rId41" Target="http://www.gov.cn/zhengce/content/2014-03/17/content_8717.htm" TargetMode="External" /><Relationship Type="http://schemas.openxmlformats.org/officeDocument/2006/relationships/hyperlink" Id="rId68" Target="http://www.nbd.com.cn/articles/2014-03-20/818869.html" TargetMode="External" /><Relationship Type="http://schemas.openxmlformats.org/officeDocument/2006/relationships/hyperlink" Id="rId47" Target="http://www.sdpc.gov.cn/zcfb/zcfbl/201403/t20140320_603521.html" TargetMode="External" /><Relationship Type="http://schemas.openxmlformats.org/officeDocument/2006/relationships/hyperlink" Id="rId51" Target="http://www.sipo.gov.cn/zwgg/jl/201403/t20140314_916952.html" TargetMode="External" /><Relationship Type="http://schemas.openxmlformats.org/officeDocument/2006/relationships/hyperlink" Id="rId34" Target="http://www.sse.com.cn/aboutus/regulatory/action/whitepaper/c/c_20140318_3777147.pdf" TargetMode="External" /><Relationship Type="http://schemas.openxmlformats.org/officeDocument/2006/relationships/hyperlink" Id="rId37" Target="http://www.sse.com.cn/lawandrules/sserules/trading/universal/c/c_20140319_3777697.shtml" TargetMode="External" /><Relationship Type="http://schemas.openxmlformats.org/officeDocument/2006/relationships/hyperlink" Id="rId9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5" Target="12a.pdf" TargetMode="External" /><Relationship Type="http://schemas.openxmlformats.org/officeDocument/2006/relationships/hyperlink" Id="rId69" Target="13.pdf" TargetMode="External" /><Relationship Type="http://schemas.openxmlformats.org/officeDocument/2006/relationships/hyperlink" Id="rId73" Target="14.pdf" TargetMode="External" /><Relationship Type="http://schemas.openxmlformats.org/officeDocument/2006/relationships/hyperlink" Id="rId76" Target="15.pdf" TargetMode="External" /><Relationship Type="http://schemas.openxmlformats.org/officeDocument/2006/relationships/hyperlink" Id="rId80" Target="16.pdf" TargetMode="External" /><Relationship Type="http://schemas.openxmlformats.org/officeDocument/2006/relationships/hyperlink" Id="rId83" Target="17.pdf" TargetMode="External" /><Relationship Type="http://schemas.openxmlformats.org/officeDocument/2006/relationships/hyperlink" Id="rId86" Target="18.pdf" TargetMode="External" /><Relationship Type="http://schemas.openxmlformats.org/officeDocument/2006/relationships/hyperlink" Id="rId89" Target="19.pdf" TargetMode="External" /><Relationship Type="http://schemas.openxmlformats.org/officeDocument/2006/relationships/hyperlink" Id="rId29" Target="2.pdf" TargetMode="External" /><Relationship Type="http://schemas.openxmlformats.org/officeDocument/2006/relationships/hyperlink" Id="rId92" Target="20.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62" Target="http://epaper.stcn.com/paper/zqsb/html/2014-03/20/content_554716.htm" TargetMode="External" /><Relationship Type="http://schemas.openxmlformats.org/officeDocument/2006/relationships/hyperlink" Id="rId72" Target="http://epaper.stcn.com/paper/zqsb/html/epaper/index/content_553954.htm" TargetMode="External" /><Relationship Type="http://schemas.openxmlformats.org/officeDocument/2006/relationships/hyperlink" Id="rId75" Target="http://epaper.stcn.com/paper/zqsb/html/epaper/index/content_554667.htm" TargetMode="External" /><Relationship Type="http://schemas.openxmlformats.org/officeDocument/2006/relationships/hyperlink" Id="rId64" Target="http://fangchan.21cbh.com/2014/3-20/zMMDA1NjBfMTEwMzMzMA.html" TargetMode="External" /><Relationship Type="http://schemas.openxmlformats.org/officeDocument/2006/relationships/hyperlink" Id="rId31" Target="http://kjs.mof.gov.cn/zhengwuxinxi/zhengcefabu/201403/t20140319_1057127.html" TargetMode="External" /><Relationship Type="http://schemas.openxmlformats.org/officeDocument/2006/relationships/hyperlink" Id="rId25" Target="http://www.cbrc.gov.cn/chinese/home/docDOC_ReadView/9E195304AEAB4E918C3AC1EF7F2CB566.html" TargetMode="External" /><Relationship Type="http://schemas.openxmlformats.org/officeDocument/2006/relationships/hyperlink" Id="rId28" Target="http://www.cbrc.gov.cn/chinese/home/docView/92977B7381E348689FAEFEEA5AEAA9AA.html" TargetMode="External" /><Relationship Type="http://schemas.openxmlformats.org/officeDocument/2006/relationships/hyperlink" Id="rId21" Target="http://www.charltonslaw.com.cn/china-news-alerts-cn-issue-398/" TargetMode="External" /><Relationship Type="http://schemas.openxmlformats.org/officeDocument/2006/relationships/hyperlink" Id="rId55" Target="http://www.circ.gov.cn/web/site0/tab5168/info3910599.htm" TargetMode="External" /><Relationship Type="http://schemas.openxmlformats.org/officeDocument/2006/relationships/hyperlink" Id="rId58" Target="http://www.circ.gov.cn/web/site0/tab5168/info3910605.htm" TargetMode="External" /><Relationship Type="http://schemas.openxmlformats.org/officeDocument/2006/relationships/hyperlink" Id="rId91" Target="http://www.customs.gov.cn/publish/portal0/tab399/info700275.htm" TargetMode="External" /><Relationship Type="http://schemas.openxmlformats.org/officeDocument/2006/relationships/hyperlink" Id="rId85" Target="http://www.customs.gov.cn/publish/portal0/tab399/info700318.htm" TargetMode="External" /><Relationship Type="http://schemas.openxmlformats.org/officeDocument/2006/relationships/hyperlink" Id="rId88" Target="http://www.customs.gov.cn/publish/portal0/tab49564/info700175.htm" TargetMode="External" /><Relationship Type="http://schemas.openxmlformats.org/officeDocument/2006/relationships/hyperlink" Id="rId82" Target="http://www.customs.gov.cn/publish/portal0/tab49564/info700178.htm" TargetMode="External" /><Relationship Type="http://schemas.openxmlformats.org/officeDocument/2006/relationships/hyperlink" Id="rId79" Target="http://www.gov.cn/xinwen/2014-03/16/content_2639841.htm" TargetMode="External" /><Relationship Type="http://schemas.openxmlformats.org/officeDocument/2006/relationships/hyperlink" Id="rId44" Target="http://www.gov.cn/xinwen/2014-03/18/content_2641070.htm" TargetMode="External" /><Relationship Type="http://schemas.openxmlformats.org/officeDocument/2006/relationships/hyperlink" Id="rId41" Target="http://www.gov.cn/zhengce/content/2014-03/17/content_8717.htm" TargetMode="External" /><Relationship Type="http://schemas.openxmlformats.org/officeDocument/2006/relationships/hyperlink" Id="rId68" Target="http://www.nbd.com.cn/articles/2014-03-20/818869.html" TargetMode="External" /><Relationship Type="http://schemas.openxmlformats.org/officeDocument/2006/relationships/hyperlink" Id="rId47" Target="http://www.sdpc.gov.cn/zcfb/zcfbl/201403/t20140320_603521.html" TargetMode="External" /><Relationship Type="http://schemas.openxmlformats.org/officeDocument/2006/relationships/hyperlink" Id="rId51" Target="http://www.sipo.gov.cn/zwgg/jl/201403/t20140314_916952.html" TargetMode="External" /><Relationship Type="http://schemas.openxmlformats.org/officeDocument/2006/relationships/hyperlink" Id="rId34" Target="http://www.sse.com.cn/aboutus/regulatory/action/whitepaper/c/c_20140318_3777147.pdf" TargetMode="External" /><Relationship Type="http://schemas.openxmlformats.org/officeDocument/2006/relationships/hyperlink" Id="rId37" Target="http://www.sse.com.cn/lawandrules/sserules/trading/universal/c/c_20140319_3777697.shtml" TargetMode="External" /><Relationship Type="http://schemas.openxmlformats.org/officeDocument/2006/relationships/hyperlink" Id="rId9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第398期 - 2014年03月21日</dc:title>
  <dc:creator/>
</cp:coreProperties>
</file>