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第400期</w:t>
      </w:r>
      <w:r>
        <w:t xml:space="preserve"> </w:t>
      </w:r>
      <w:r>
        <w:t xml:space="preserve">-</w:t>
      </w:r>
      <w:r>
        <w:t xml:space="preserve"> </w:t>
      </w:r>
      <w:r>
        <w:t xml:space="preserve">2014年04月04日</w:t>
      </w:r>
    </w:p>
    <w:p>
      <w:hyperlink r:id="rId21">
        <w:r>
          <w:rPr>
            <w:rStyle w:val="Link"/>
          </w:rPr>
          <w:t xml:space="preserve">网络版</w:t>
        </w:r>
      </w:hyperlink>
    </w:p>
    <w:p>
      <w:pPr>
        <w:pStyle w:val="Heading1"/>
      </w:pPr>
      <w:bookmarkStart w:id="22" w:name="法讯中国第400期"/>
      <w:bookmarkEnd w:id="22"/>
      <w:r>
        <w:t xml:space="preserve">法讯中国第400期</w:t>
      </w:r>
    </w:p>
    <w:p>
      <w:pPr>
        <w:pStyle w:val="Heading2"/>
      </w:pPr>
      <w:bookmarkStart w:id="23" w:name="资本市场"/>
      <w:bookmarkEnd w:id="23"/>
      <w:r>
        <w:t xml:space="preserve">资本市场</w:t>
      </w:r>
    </w:p>
    <w:p>
      <w:pPr>
        <w:pStyle w:val="Heading3"/>
      </w:pPr>
      <w:bookmarkStart w:id="24" w:name="前海产业优惠目录获国务院同意"/>
      <w:bookmarkEnd w:id="24"/>
      <w:r>
        <w:t xml:space="preserve">前海产业优惠目录获国务院同意</w:t>
      </w:r>
    </w:p>
    <w:p>
      <w:r>
        <w:t xml:space="preserve">深圳前海合作区咨询委员会3月31日召开第二次会议，前海管理局局长张备在会上表示，前海22条先行先试政策已经落实17条，其余5条正在落实中，前海产业优惠目录在国务院已完成审批程序。根据规定，纳入产业优惠目录的企业将按15％的税率征收企业所得税。外资股权投资基金创新政策也有望近期落地。</w:t>
      </w:r>
    </w:p>
    <w:p>
      <w:r>
        <w:t xml:space="preserve">在探索现代服务业的发展新机制方面，张备提出了未来工作的五个方面，包括政策创新、金融创新、土地管理改革创新、法治创新和行政管理改革。据介绍，去年前海合作区在跨境人民币、证券、保险等多个领域上报了25条金融创新政策需求，并力争在即将召开的第三次前海部际联席会议上落实一批政策。跨境人民币贷款的实施，强化了香港离岸人民币中心地位。前海跨境贷政策实施一年来，香港离岸人民币资金规模从6200亿元增加到8200亿元。</w:t>
      </w:r>
    </w:p>
    <w:p>
      <w:r>
        <w:t xml:space="preserve">在深化深港合作方面，今年前海将建设“万千百十”工程，服务香港产业结构优化：到2020年，前海由港资开发的建筑面积超过900万平方米，在前海开展商务活动和就业的香港永久性居民超过10万，吸引1万家香港企业落户；孵化1000家有发展潜力、创新和整合能力较强的香港企业，力争港资服务业规模超过1000亿元；在前海孵化成型的港资创新型企业超过100家；在前海建立面向香港优势和特色产业的10个港企聚集基地。</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港交所新股上市新规生效"/>
      <w:bookmarkEnd w:id="27"/>
      <w:r>
        <w:t xml:space="preserve">港交所新股上市新规生效</w:t>
      </w:r>
    </w:p>
    <w:p>
      <w:r>
        <w:t xml:space="preserve">港交所实行网上登载上市申请的新例于4月1日生效，自此，申请在香港上市的企业将会面临更为严格的披露规定。</w:t>
      </w:r>
    </w:p>
    <w:p>
      <w:r>
        <w:t xml:space="preserve">新规定的推出旨在提高首次公开招股质量，包括在递交A1上市申请表时便提交初步招股资料，此外，如果招股文件被查出误导投资人，投行可能要负刑事责任。这是港交所为配合香港证监会的《保荐人新监管规定》而制定的新规。</w:t>
      </w:r>
    </w:p>
    <w:p>
      <w:r>
        <w:t xml:space="preserve">根据新规定，如果申请资料不完备遭港交所打回，该上市申请将在之后8个星期内不得重新提交，而相关公司申请人和其保荐人的名称都将刊发在港交所“披露易”网站上。上述安排的目的，是为了增加信息透明度，以及提高保荐人的尽职调查工作效率和质量。此举有助于督促保荐人认真履行职责，因若多次出现在名单上，将影响其声誉，也为潜在上市公司和投资者提供了参考。有投行人士认为，提高披露透明度是大势所趋，美国和中国内地均有相关制度。</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互联网金融协会获国务院批复-明确五大监管原则"/>
      <w:bookmarkEnd w:id="30"/>
      <w:r>
        <w:t xml:space="preserve">中国互联网金融协会获国务院批复 明确五大监管原则</w:t>
      </w:r>
    </w:p>
    <w:p>
      <w:r>
        <w:t xml:space="preserve">4月2日，中国人民银行牵头组建的中国互联网金融协会已正式获得国务院批复。该协会由央行条法司牵头筹建，旨在对互联网金融行业进行自律管理。目前，该协会正上报民政部批筹。</w:t>
      </w:r>
    </w:p>
    <w:p>
      <w:r>
        <w:t xml:space="preserve">在互联网金融监管方面，央行早已经明确了五大原则，而此次获批成立的中国互联网金融协会亦是重要的一环，旨在充分发挥行业自律管理作用，推动形成统一的行业服务标准和规则。</w:t>
      </w:r>
    </w:p>
    <w:p>
      <w:r>
        <w:t xml:space="preserve">其他四大原则包括：互联网金融创新必须坚持金融服务实体经济的本质要求，合理把握创新的界限和力度；互联网金融创新应服从宏观调控和金融稳定的总体要求；切实维护消费者的合法权益；维护公平竞争的市场秩序。</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行业"/>
      <w:bookmarkEnd w:id="33"/>
      <w:r>
        <w:t xml:space="preserve">行业</w:t>
      </w:r>
    </w:p>
    <w:p>
      <w:pPr>
        <w:pStyle w:val="Heading3"/>
      </w:pPr>
      <w:bookmarkStart w:id="34" w:name="国务院修订医疗器械监督管理条例"/>
      <w:bookmarkEnd w:id="34"/>
      <w:r>
        <w:t xml:space="preserve">国务院修订《医疗器械监督管理条例》</w:t>
      </w:r>
    </w:p>
    <w:p>
      <w:r>
        <w:t xml:space="preserve">近日，国务院发布修订后的《医疗器械监督管理条例（2014年修订）》（以下简称《条例》），自2014年6月1日起施行。</w:t>
      </w:r>
    </w:p>
    <w:p>
      <w:r>
        <w:t xml:space="preserve">修订后的《条例》对医疗器械按照风险程度实行分类管理，将医疗器械按风险从低到高分为一、二、三类。在此基础上，《条例》明确，国家对第一类医疗器械实行产品备案管理，对第二类、第三类医疗器械实行产品注册管理。此外，《条例》进一步完善了监管制度，增设了医疗器械不良事件监测制度、已注册医疗器械的再评价、医疗器械召回等制度。</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食品药品监管总局明确使用进口基粉生产婴幼儿配方乳粉生产许可审查有关事项"/>
      <w:bookmarkEnd w:id="37"/>
      <w:r>
        <w:t xml:space="preserve">食品药品监管总局明确使用进口基粉生产婴幼儿配方乳粉生产许可审查有关事项</w:t>
      </w:r>
    </w:p>
    <w:p>
      <w:r>
        <w:t xml:space="preserve">3月31日，国家食品药品监管总局办公厅发布《关于使用进口基粉生产婴幼儿配方乳粉生产许可审查有关工作的通知》（以下简称《通知》）。</w:t>
      </w:r>
    </w:p>
    <w:p>
      <w:r>
        <w:t xml:space="preserve">《通知》规定，企业使用的进口基粉，应当符合《幼儿配方乳粉生产许可审查细则（2013版）》中基粉的定义，但不应是符合《食品安全国家标准婴儿配方食品》、《食品安全国家标准较大婴儿和幼儿配方食品》规定的成品。严禁企业使用进口大包装婴幼儿配方乳粉进行生产和分装。</w:t>
      </w:r>
    </w:p>
    <w:p>
      <w:r>
        <w:t xml:space="preserve">根据《通知》，婴幼儿配方乳粉生产企业要制定基粉的质量控制文件，进口基粉还应有出入境检验检疫机构出具的入境货物检验检疫证明。</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wto"/>
      <w:bookmarkEnd w:id="40"/>
      <w:r>
        <w:t xml:space="preserve">WTO</w:t>
      </w:r>
    </w:p>
    <w:p>
      <w:pPr>
        <w:pStyle w:val="Heading3"/>
      </w:pPr>
      <w:bookmarkStart w:id="41" w:name="区域全面经济伙伴关系协定第四轮谈判开幕"/>
      <w:bookmarkEnd w:id="41"/>
      <w:r>
        <w:t xml:space="preserve">《区域全面经济伙伴关系协定》第四轮谈判开幕</w:t>
      </w:r>
    </w:p>
    <w:p>
      <w:r>
        <w:t xml:space="preserve">3月31日，《区域全面经济伙伴关系协定》（RCEP）第四轮谈判在广西南宁开幕。东盟10国、中国、日本、韩国、印度、澳大利亚、新西兰代表团共500余人参加谈判。中国代表团由商务部部长助理王受文任团长,发展改革委、工业和信息化部、财政部、农业部、海关总署、工商总局和质检总局等部门代表组成。</w:t>
      </w:r>
    </w:p>
    <w:p>
      <w:r>
        <w:t xml:space="preserve">本轮谈判历时5天，各方将就关税减让模式、服务和投资自由化模式、协定章节框架等问题进行讨论。</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商务部公布对美国加拿大巴西浆粕反倾销调查的终裁决定"/>
      <w:bookmarkEnd w:id="44"/>
      <w:r>
        <w:t xml:space="preserve">商务部公布对美国加拿大巴西浆粕反倾销调查的终裁决定</w:t>
      </w:r>
    </w:p>
    <w:p>
      <w:r>
        <w:t xml:space="preserve">4月4日，商务部发布年度第18号公告，终裁决定自4月6日起，对原产于美国、加拿大和巴西的进口浆粕征收反倾销税，为期5年。</w:t>
      </w:r>
    </w:p>
    <w:p>
      <w:r>
        <w:t xml:space="preserve">商务部终裁认定，原产于美国、加拿大和巴西的进口浆粕产品存在倾销，中国国内浆粕产业受到实质损害，且倾销与实质损害之间存在因果关系。根据《中华人民共和国反倾销条例》有关规定，经商务部建议，国务院关税税则委员会决定，自2014年4月6日起，进口经营者在自上述国家进口浆粕产品时应向中国海关缴纳反倾销税。根据终裁决定，美国公司反倾销税率为16.9%-33.5%,加拿大公司反倾销税率为0%-23.7%，巴西公司反倾销税率为6.8%-11.5%。此外，调查机关接受了巴西巴依亚特种纤维素厂提出的价格承诺申请，自该公司进口的浆粕执行其价格承诺，不征收反倾销税。</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美国商务部决定终止对华味精反补贴调查"/>
      <w:bookmarkEnd w:id="47"/>
      <w:r>
        <w:t xml:space="preserve">美国商务部决定终止对华味精反补贴调查</w:t>
      </w:r>
    </w:p>
    <w:p>
      <w:r>
        <w:t xml:space="preserve">据商务部网站消息，美商务部于4月1日发布通知，应申诉方日本味之素及其美国公司申请，决定自3月31日起终止对中国和印度尼西亚谷氨酸钠(味精)的反补贴调查。</w:t>
      </w:r>
    </w:p>
    <w:p>
      <w:r>
        <w:t xml:space="preserve">2013年10月24日，美商务部正式立案对原产于中国和印尼的味精进行反倾销、反补贴调查，味之素公司为本案唯一申请人。2014年3月5日，美商务部做出反补贴初裁，中国涉案企业补贴率为13.41%至404.03%。3月7日，味之素公司申请终止本案反补贴调查，美商务部认为其代表了美国内味精产业的全部产量，因此决定依法终止调查。</w:t>
      </w:r>
    </w:p>
    <w:p>
      <w:r>
        <w:t xml:space="preserve">本案反倾销调查仍在进行之中，目前美商务部尚未做出倾销初裁。</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并购"/>
      <w:bookmarkEnd w:id="50"/>
      <w:r>
        <w:t xml:space="preserve">并购</w:t>
      </w:r>
    </w:p>
    <w:p>
      <w:pPr>
        <w:pStyle w:val="Heading3"/>
      </w:pPr>
      <w:bookmarkStart w:id="51" w:name="华侨银行384亿港币收购永亨银行"/>
      <w:bookmarkEnd w:id="51"/>
      <w:r>
        <w:t xml:space="preserve">华侨银行384亿港币收购永亨银行</w:t>
      </w:r>
    </w:p>
    <w:p>
      <w:r>
        <w:t xml:space="preserve">4月1日，新加坡华侨银行宣布向永亨银行有限公司提出有条件自愿全面收购要约，此次收购的完成将支持拓展包括内地、香港、澳门、台湾地区的大中华区业务。</w:t>
      </w:r>
    </w:p>
    <w:p>
      <w:r>
        <w:t xml:space="preserve">华侨银行表示，已通过其全资附属公司OCBC Pearl Limited，向永亨银行提出有条件自愿全面收购要约，共计港币384.28亿元，收购在香港交易所上市永亨银行的全部已发行股本。</w:t>
      </w:r>
    </w:p>
    <w:p>
      <w:r>
        <w:t xml:space="preserve">要约方案提出以每股现金港币125元收购永亨银行的股份，该价格较永亨银行此次因收购而停牌前的收市价123元港币溢价约1.6%，较90天平均价（2013年9月16日收市价）溢价67.3%。另外，此建议收购价约为永亨银行2013年12月31日的综合净账面值的1.77倍。OCBC Pearl已接受永亨银行若干股东做出的接受要约的不可撤回承诺。</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邦讯技术2.4亿收购凌拓科技"/>
      <w:bookmarkEnd w:id="54"/>
      <w:r>
        <w:t xml:space="preserve">邦讯技术2.4亿收购凌拓科技</w:t>
      </w:r>
    </w:p>
    <w:p>
      <w:r>
        <w:t xml:space="preserve">邦讯技术4月2日披露，计划以发行股份及支付现金的方式收购厦门市凌拓通信科技有限公司100%股权，交易价格不超过2.4亿元。</w:t>
      </w:r>
    </w:p>
    <w:p>
      <w:r>
        <w:t xml:space="preserve">经评估，凌拓科技净资产预估值约2.5亿元，增值率约为737.2%。根据预案，此次交易支付方式分为发行股份支付和现金支付两部分，其中现金支付不超过6500万元，发行股份支付不超过1.75亿元，发行价格为每股14.29元，发行数量合计不超过1224.63万股。</w:t>
      </w:r>
    </w:p>
    <w:p>
      <w:r>
        <w:t xml:space="preserve">凌拓科技2013年开始业务转型，确定了物联网智能穿戴的发展方向，目前产品包括智能手表、儿童手环、智能鞋传感器等可穿戴产品。</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中粮斥资15亿美元收购来宝集团子公司"/>
      <w:bookmarkEnd w:id="57"/>
      <w:r>
        <w:t xml:space="preserve">中粮斥资15亿美元收购来宝集团子公司</w:t>
      </w:r>
    </w:p>
    <w:p>
      <w:r>
        <w:t xml:space="preserve">新加坡上市企业来宝集团4月2日宣布，中粮集团斥资15亿美元，获得来宝集团旗下农业子公司51%的股权。</w:t>
      </w:r>
    </w:p>
    <w:p>
      <w:r>
        <w:t xml:space="preserve">来宝集团总部设在中国香港，是全球最大的农产品、矿产和能源产品交易商之一，其强项在于供应链。根据该公司的信息，来宝集团在2013年全球《财富》500强企业中名列第76位。</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华录百纳25亿收购蓝色火焰"/>
      <w:bookmarkEnd w:id="60"/>
      <w:r>
        <w:t xml:space="preserve">华录百纳25亿收购蓝色火焰</w:t>
      </w:r>
    </w:p>
    <w:p>
      <w:r>
        <w:t xml:space="preserve">华录百纳4月3日披露，公司计划以25亿元的价格收购广东百合蓝色火焰文化传媒股份有限公司100%股权。交易完成后，华录百纳将进军电影、新媒体等快速发展的业务领域，并形成以电视媒体为核心、电影业务为突破点，兼顾新媒体等多种媒体形式的传媒产业链综合布局。</w:t>
      </w:r>
    </w:p>
    <w:p>
      <w:r>
        <w:t xml:space="preserve">蓝色火焰主营业务为品牌内容整合营销、文化内容制作运营及媒介代理，曾先后运作《快乐大本营》、《天天向上》等栏目的内容营销项目，并出品电影《快乐大本营之快乐到家》、《爸爸去哪儿》等。</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爱使股份11.8亿收购网游公司"/>
      <w:bookmarkEnd w:id="63"/>
      <w:r>
        <w:t xml:space="preserve">爱使股份11.8亿收购网游公司</w:t>
      </w:r>
    </w:p>
    <w:p>
      <w:r>
        <w:t xml:space="preserve">爱使股份4月4日披露重组预案，计划通过发行股份及支付现金的方式，以11.8亿元的价格收购网游公司游久时代100%股权。公司股票今日复牌。</w:t>
      </w:r>
    </w:p>
    <w:p>
      <w:r>
        <w:t xml:space="preserve">游久时代目前主营业务是网络游戏的媒体资讯服务、网络游戏的研发及运营，所搭建的自主游戏运营平台累计注册用户已突破1300万人次，平台运营的网络游戏产品总数已达20款。</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6">
        <w:r>
          <w:rPr>
            <w:rStyle w:val="Link"/>
          </w:rPr>
          <w:t xml:space="preserve">unsubscribe@charltonslaw.com</w:t>
        </w:r>
      </w:hyperlink>
    </w:p>
    <w:p>
      <w:r>
        <w:rPr>
          <w:b/>
        </w:rPr>
        <w:t xml:space="preserve">易周律师行 - 法讯 - 中国 - 第400期 - 2014年04月04日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7f998b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epaper/index/content_560095.htm" TargetMode="External" /><Relationship Type="http://schemas.openxmlformats.org/officeDocument/2006/relationships/hyperlink" Id="rId25" Target="http://epaper.stcn.com/paper/zqsb/html/epaper/index/content_560129.htm" TargetMode="External" /><Relationship Type="http://schemas.openxmlformats.org/officeDocument/2006/relationships/hyperlink" Id="rId52" Target="http://epaper.stcn.com/paper/zqsb/html/epaper/index/content_560459.htm" TargetMode="External" /><Relationship Type="http://schemas.openxmlformats.org/officeDocument/2006/relationships/hyperlink" Id="rId55" Target="http://epaper.stcn.com/paper/zqsb/html/epaper/index/content_560515.htm" TargetMode="External" /><Relationship Type="http://schemas.openxmlformats.org/officeDocument/2006/relationships/hyperlink" Id="rId58" Target="http://epaper.stcn.com/paper/zqsb/html/epaper/index/content_560889.htm" TargetMode="External" /><Relationship Type="http://schemas.openxmlformats.org/officeDocument/2006/relationships/hyperlink" Id="rId61" Target="http://epaper.stcn.com/paper/zqsb/html/epaper/index/content_560967.htm" TargetMode="External" /><Relationship Type="http://schemas.openxmlformats.org/officeDocument/2006/relationships/hyperlink" Id="rId64" Target="http://epaper.stcn.com/paper/zqsb/html/epaper/index/content_561347.htm" TargetMode="External" /><Relationship Type="http://schemas.openxmlformats.org/officeDocument/2006/relationships/hyperlink" Id="rId31" Target="http://finance.sina.com.cn/money/bank/hykx/20140403/070318698514.shtml" TargetMode="External" /><Relationship Type="http://schemas.openxmlformats.org/officeDocument/2006/relationships/hyperlink" Id="rId48" Target="http://gpj.mofcom.gov.cn/article/cx/cn/201404/20140400539899.shtml" TargetMode="External" /><Relationship Type="http://schemas.openxmlformats.org/officeDocument/2006/relationships/hyperlink" Id="rId21" Target="http://www.charltonslaw.com.cn/china-news-alerts-cn-issue-400/" TargetMode="External" /><Relationship Type="http://schemas.openxmlformats.org/officeDocument/2006/relationships/hyperlink" Id="rId35" Target="http://www.gov.cn/xinwen/2014-03/31/content_2649998.htm" TargetMode="External" /><Relationship Type="http://schemas.openxmlformats.org/officeDocument/2006/relationships/hyperlink" Id="rId42" Target="http://www.mofcom.gov.cn/article/ae/ai/201403/20140300534349.shtml" TargetMode="External" /><Relationship Type="http://schemas.openxmlformats.org/officeDocument/2006/relationships/hyperlink" Id="rId45" Target="http://www.mofcom.gov.cn/article/ae/ai/201404/20140400539875.shtml" TargetMode="External" /><Relationship Type="http://schemas.openxmlformats.org/officeDocument/2006/relationships/hyperlink" Id="rId38" Target="http://www.sda.gov.cn/WS01/CL1603/97844.html" TargetMode="External" /><Relationship Type="http://schemas.openxmlformats.org/officeDocument/2006/relationships/hyperlink" Id="rId6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epaper/index/content_560095.htm" TargetMode="External" /><Relationship Type="http://schemas.openxmlformats.org/officeDocument/2006/relationships/hyperlink" Id="rId25" Target="http://epaper.stcn.com/paper/zqsb/html/epaper/index/content_560129.htm" TargetMode="External" /><Relationship Type="http://schemas.openxmlformats.org/officeDocument/2006/relationships/hyperlink" Id="rId52" Target="http://epaper.stcn.com/paper/zqsb/html/epaper/index/content_560459.htm" TargetMode="External" /><Relationship Type="http://schemas.openxmlformats.org/officeDocument/2006/relationships/hyperlink" Id="rId55" Target="http://epaper.stcn.com/paper/zqsb/html/epaper/index/content_560515.htm" TargetMode="External" /><Relationship Type="http://schemas.openxmlformats.org/officeDocument/2006/relationships/hyperlink" Id="rId58" Target="http://epaper.stcn.com/paper/zqsb/html/epaper/index/content_560889.htm" TargetMode="External" /><Relationship Type="http://schemas.openxmlformats.org/officeDocument/2006/relationships/hyperlink" Id="rId61" Target="http://epaper.stcn.com/paper/zqsb/html/epaper/index/content_560967.htm" TargetMode="External" /><Relationship Type="http://schemas.openxmlformats.org/officeDocument/2006/relationships/hyperlink" Id="rId64" Target="http://epaper.stcn.com/paper/zqsb/html/epaper/index/content_561347.htm" TargetMode="External" /><Relationship Type="http://schemas.openxmlformats.org/officeDocument/2006/relationships/hyperlink" Id="rId31" Target="http://finance.sina.com.cn/money/bank/hykx/20140403/070318698514.shtml" TargetMode="External" /><Relationship Type="http://schemas.openxmlformats.org/officeDocument/2006/relationships/hyperlink" Id="rId48" Target="http://gpj.mofcom.gov.cn/article/cx/cn/201404/20140400539899.shtml" TargetMode="External" /><Relationship Type="http://schemas.openxmlformats.org/officeDocument/2006/relationships/hyperlink" Id="rId21" Target="http://www.charltonslaw.com.cn/china-news-alerts-cn-issue-400/" TargetMode="External" /><Relationship Type="http://schemas.openxmlformats.org/officeDocument/2006/relationships/hyperlink" Id="rId35" Target="http://www.gov.cn/xinwen/2014-03/31/content_2649998.htm" TargetMode="External" /><Relationship Type="http://schemas.openxmlformats.org/officeDocument/2006/relationships/hyperlink" Id="rId42" Target="http://www.mofcom.gov.cn/article/ae/ai/201403/20140300534349.shtml" TargetMode="External" /><Relationship Type="http://schemas.openxmlformats.org/officeDocument/2006/relationships/hyperlink" Id="rId45" Target="http://www.mofcom.gov.cn/article/ae/ai/201404/20140400539875.shtml" TargetMode="External" /><Relationship Type="http://schemas.openxmlformats.org/officeDocument/2006/relationships/hyperlink" Id="rId38" Target="http://www.sda.gov.cn/WS01/CL1603/97844.html" TargetMode="External" /><Relationship Type="http://schemas.openxmlformats.org/officeDocument/2006/relationships/hyperlink" Id="rId6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第400期 - 2014年04月04日</dc:title>
  <dc:creator/>
</cp:coreProperties>
</file>