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第403期</w:t>
      </w:r>
      <w:r>
        <w:t xml:space="preserve"> </w:t>
      </w:r>
      <w:r>
        <w:t xml:space="preserve">-</w:t>
      </w:r>
      <w:r>
        <w:t xml:space="preserve"> </w:t>
      </w:r>
      <w:r>
        <w:t xml:space="preserve">2014年04月25日</w:t>
      </w:r>
    </w:p>
    <w:p>
      <w:hyperlink r:id="rId21">
        <w:r>
          <w:rPr>
            <w:rStyle w:val="Link"/>
          </w:rPr>
          <w:t xml:space="preserve">网络版</w:t>
        </w:r>
      </w:hyperlink>
    </w:p>
    <w:p>
      <w:pPr>
        <w:pStyle w:val="Heading1"/>
      </w:pPr>
      <w:bookmarkStart w:id="22" w:name="法讯中国第403期"/>
      <w:bookmarkEnd w:id="22"/>
      <w:r>
        <w:t xml:space="preserve">法讯中国第403期</w:t>
      </w:r>
    </w:p>
    <w:p>
      <w:pPr>
        <w:pStyle w:val="Heading2"/>
      </w:pPr>
      <w:bookmarkStart w:id="23" w:name="资本市场"/>
      <w:bookmarkEnd w:id="23"/>
      <w:r>
        <w:t xml:space="preserve">资本市场</w:t>
      </w:r>
    </w:p>
    <w:p>
      <w:pPr>
        <w:pStyle w:val="Heading3"/>
      </w:pPr>
      <w:bookmarkStart w:id="24" w:name="央行银监会联合发文规范第三方支付"/>
      <w:bookmarkEnd w:id="24"/>
      <w:r>
        <w:t xml:space="preserve">央行银监会联合发文规范第三方支付</w:t>
      </w:r>
    </w:p>
    <w:p>
      <w:r>
        <w:t xml:space="preserve">银监会与央行日前联合发布《关于加强商业银行与第三方支付机构合作业务管理的通知》（银监发[2014]10号）（下称“10号文”）。“10号文”共提出近20条监管要求，其中包括信息安全、账户关联、交易限额等。</w:t>
      </w:r>
    </w:p>
    <w:p>
      <w:r>
        <w:t xml:space="preserve">结合“10号文”和央行此前对二维码支付做出的部分限定，监管部门对于第三方支付公司的发展和监管基调已表现得较为充分。</w:t>
      </w:r>
    </w:p>
    <w:p>
      <w:r>
        <w:t xml:space="preserve">“10号文”指出，客户银行账户与第三方支付机构首次建立业务关联时，应经双重认证，即客户在通过第三方支付机构认证同时，还需通过商业银行的客户身份鉴别。账户所在银行应通过物理网点、电子渠道或其他有效方式直接验证客户身份，明确双方权利与义务。商业银行通过电子渠道验证和辨别客户身份，应采用双（多）因素验证方式对客户身份进行鉴别，对不具备双（多）因素认证条件的客户，其任何账户不得与第三方支付机构建立业务关联。</w:t>
      </w:r>
    </w:p>
    <w:p>
      <w:r>
        <w:t xml:space="preserve">“10号文”对支付限额做出了规定。要求商业银行应设立与客户技术风险承受能力相匹配的支付限额，包括单笔支付限额和日累计支付限额。同时明确，商业银行应向客户提供临时调整支付限额的服务，在进行身份验证和辨别后，按照客户申请，在临时期限内可以适当调整单笔支付限额和日累计支付限额。从银行账户划出的支付交易资金，遇到交易终止、失败应划回原银行账户。</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两部门联合发布关于商业银行发行优先股补充一级资本的指导意见"/>
      <w:bookmarkEnd w:id="27"/>
      <w:r>
        <w:t xml:space="preserve">两部门联合发布《关于商业银行发行优先股补充一级资本的指导意见》</w:t>
      </w:r>
    </w:p>
    <w:p>
      <w:r>
        <w:t xml:space="preserve">4月18日，中国银监会、中国证监会联合发布《关于商业银行发行优先股补充一级资本的指导意见》（以下简称《意见》）。</w:t>
      </w:r>
    </w:p>
    <w:p>
      <w:r>
        <w:t xml:space="preserve">《意见》简化了优先股发行涉及的资本补充、章程修订等行政许可事项，强化了信息披露要求，加强了事中事后监管。根据《意见》，商业银行应在发行合约中明确有权取消优先股的股息支付且不构成违约事件；未向优先股股东足额派发的股息不累积到下一计息年度。同时，商业银行在行使上述权利时应充分考虑优先股股东的权益。商业银行决定取消优先股股息支付的，应在付息日前至少十个工作日通知投资者。</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证监会将抽查首发企业信息披露质量"/>
      <w:bookmarkEnd w:id="30"/>
      <w:r>
        <w:t xml:space="preserve">证监会将抽查首发企业信息披露质量</w:t>
      </w:r>
    </w:p>
    <w:p>
      <w:r>
        <w:t xml:space="preserve">4月23日，证监会发行部发布通知，拟对申请首次公开发行股票（IPO）企业，在上发审会前对发行人信息披露质量进行抽查。</w:t>
      </w:r>
    </w:p>
    <w:p>
      <w:r>
        <w:t xml:space="preserve">本次抽查的对象为所有申请首次公开发行股票的企业，在其上发审会前均被纳入抽取范围，并参加一次被抽取工作。此前IPO财务专项检查时已抽查过的40家企业，不再纳入抽取范围。</w:t>
      </w:r>
    </w:p>
    <w:p>
      <w:r>
        <w:t xml:space="preserve">对于抽查通知下发前已受理的企业，发行人及中介机构提交反馈意见回复，并已按要求报送招股说明书预披露稿的，将纳入近期抽取范围。发行部相关部门负责人表示，证监会将根据审核情况，分批确定参加抽取的名单。</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国务院发布关于金融服务三农发展的若干意见"/>
      <w:bookmarkEnd w:id="33"/>
      <w:r>
        <w:t xml:space="preserve">国务院发布《关于金融服务“三农”发展的若干意见》</w:t>
      </w:r>
    </w:p>
    <w:p>
      <w:r>
        <w:t xml:space="preserve">4月20日，国务院办公厅发布《关于金融服务“三农”发展的若干意见》（以下简称《意见》）。</w:t>
      </w:r>
    </w:p>
    <w:p>
      <w:r>
        <w:t xml:space="preserve">《意见》就金融服务“三农”发展提出了九方面措施。《意见》支持银行业金融机构发行专项用于“三农”的金融债以及开展涉农资产证券化试点。同时，《意见》指出，对符合“三农”金融服务要求的县域农村商业银行和农村合作银行，监管部门要适当降低存款准备金率。</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银监会发布商业银行保理业务管理暂行办法"/>
      <w:bookmarkEnd w:id="36"/>
      <w:r>
        <w:t xml:space="preserve">银监会发布《商业银行保理业务管理暂行办法》</w:t>
      </w:r>
    </w:p>
    <w:p>
      <w:r>
        <w:t xml:space="preserve">4月18日银监会官网消息，银监会在广泛征求意见的基础上发布了《商业银行保理业务管理暂行办法》（以下简称《办法》），自发布之日起施行。</w:t>
      </w:r>
    </w:p>
    <w:p>
      <w:r>
        <w:t xml:space="preserve">《办法》所指保理业务，是指以债权人转让其应收账款为前提，集应收账款催收、管理、坏账担保及融资于一体的综合性金融服务，通常用于企业贸易活动。此外，《办法》从融资产品、客户和合作机构准入、业务审查、专户管理、融资比例和期限等多方面对保理融资业务流程和重点环节进行了规范，并明确了保理业务在公司治理、制度建设及内部控制等方面的要求，同时规定了相关监管措施和罚则。</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2"/>
      </w:pPr>
      <w:bookmarkStart w:id="39" w:name="行业"/>
      <w:bookmarkEnd w:id="39"/>
      <w:r>
        <w:t xml:space="preserve">行业</w:t>
      </w:r>
    </w:p>
    <w:p>
      <w:pPr>
        <w:pStyle w:val="Heading3"/>
      </w:pPr>
      <w:bookmarkStart w:id="40" w:name="上海出台中国上海自由贸易试验区文化市场开放项目实施细则"/>
      <w:bookmarkEnd w:id="40"/>
      <w:r>
        <w:t xml:space="preserve">上海出台《中国（上海）自由贸易试验区文化市场开放项目实施细则》</w:t>
      </w:r>
    </w:p>
    <w:p>
      <w:r>
        <w:t xml:space="preserve">近日，上海市人民政府印发《中国（上海）自由贸易试验区文化市场开放项目实施细则》（以下简称《细则》）。</w:t>
      </w:r>
    </w:p>
    <w:p>
      <w:r>
        <w:t xml:space="preserve">《细则》允许外资企业从事游戏游艺设备的生产和销售，其中，通过文化主管部门内容审查的游戏游艺设备可面向国内市场销售。《细则》取消了外资演出经纪机构的股比限制，允许设立外商独资演出经纪机构，在上海市行政区域内提供服务。此外，根据《细则》，外商投资企业还可以在自贸试验区服务贸易区域内设立娱乐场所。</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国办转发关于建立保障天然气稳定供应长效机制的若干意见"/>
      <w:bookmarkEnd w:id="43"/>
      <w:r>
        <w:t xml:space="preserve">国办转发《关于建立保障天然气稳定供应长效机制的若干意见》</w:t>
      </w:r>
    </w:p>
    <w:p>
      <w:r>
        <w:t xml:space="preserve">国务院办公厅近日转发了发改委《关于建立保障天然气稳定供应长效机制的若干意见》（以下简称《意见》）。</w:t>
      </w:r>
    </w:p>
    <w:p>
      <w:r>
        <w:t xml:space="preserve">《意见》提出四项主要任务，包括：增加天然气供应，到2020年天然气供应能力达到4000亿立方米，力争达到4200亿立方米；支持推进“煤改气”工程，到2020年累计满足“煤改气”工程用气需求1120亿立方米。</w:t>
      </w:r>
    </w:p>
    <w:p>
      <w:r>
        <w:t xml:space="preserve">《意见》指出，优先支持天然气销售企业和所供区域用气峰谷差超过3∶1、民生用气占比超过40%的城镇燃气经营企业建设储气设施。《意见》还要求，进一步理顺天然气与可替代能源价格关系，抓紧落实天然气门站价格调整方案。</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国土资源部印发养老服务设施用地指导意见"/>
      <w:bookmarkEnd w:id="46"/>
      <w:r>
        <w:t xml:space="preserve">国土资源部印发《养老服务设施用地指导意见》</w:t>
      </w:r>
    </w:p>
    <w:p>
      <w:r>
        <w:t xml:space="preserve">国土资源部网站4月23日消息，4月17日，国土资源部印发《养老服务设施用地指导意见》（以下简称《意见》），自发布之日起施行。</w:t>
      </w:r>
    </w:p>
    <w:p>
      <w:r>
        <w:t xml:space="preserve">根据《意见》，养老服务设施用地用途应界定为医卫慈善用地，养老服务设施用地以出让方式供应的，建设用地使用权出让年限按最高不超过50年确定。同时，对闲置土地依法处置后由政府收回的，规划用途符合要求的，可优先用于养老服务设施用地。此外，《意见》明确，民间资本举办的非营利性养老机构与政府举办的养老机构可以依法使用农民集体所有的土地。</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2"/>
      </w:pPr>
      <w:bookmarkStart w:id="49" w:name="保险"/>
      <w:bookmarkEnd w:id="49"/>
      <w:r>
        <w:t xml:space="preserve">保险</w:t>
      </w:r>
    </w:p>
    <w:p>
      <w:pPr>
        <w:pStyle w:val="Heading3"/>
      </w:pPr>
      <w:bookmarkStart w:id="50" w:name="保监会修改保险资金运用管理暂行办法"/>
      <w:bookmarkEnd w:id="50"/>
      <w:r>
        <w:t xml:space="preserve">保监会修改《保险资金运用管理暂行办法》</w:t>
      </w:r>
    </w:p>
    <w:p>
      <w:r>
        <w:t xml:space="preserve">经公开征求意见，保监会4月18日发布《关于修改〈保险资金运用管理暂行办法〉的决定》（以下简称《决定》），并自2014年5月1日起施行。同时，保监会根据《决定》对《保险资金运用管理暂行办法》作了相应的修订，并予以重新发布。</w:t>
      </w:r>
    </w:p>
    <w:p>
      <w:r>
        <w:t xml:space="preserve">根据修改后的规定，保险集团（控股）公司、保险公司从事保险资金运用应当符合中国保监会相关比例要求，具体规定由中国保监会另行制定。中国保监会可以根据情况调整保险资金运用的投资比例。</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2"/>
      </w:pPr>
      <w:bookmarkStart w:id="53" w:name="税收"/>
      <w:bookmarkEnd w:id="53"/>
      <w:r>
        <w:t xml:space="preserve">税收</w:t>
      </w:r>
    </w:p>
    <w:p>
      <w:pPr>
        <w:pStyle w:val="Heading3"/>
      </w:pPr>
      <w:bookmarkStart w:id="54" w:name="杏仁油-葡萄籽油6月1日起适用13增值税税率"/>
      <w:bookmarkEnd w:id="54"/>
      <w:r>
        <w:t xml:space="preserve">杏仁油 葡萄籽油6月1日起适用13%增值税税率</w:t>
      </w:r>
    </w:p>
    <w:p>
      <w:r>
        <w:t xml:space="preserve">国家税务总局日前发布《关于杏仁油 葡萄籽油增值税适用税率问题的公告》（以下简称《公告》），自2014年6月1日起执行。</w:t>
      </w:r>
    </w:p>
    <w:p>
      <w:r>
        <w:t xml:space="preserve">《公告》明确，杏仁油、葡萄籽油属于食用植物油，适用13%增值税税率。</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税总明确小微企业减半征税政策"/>
      <w:bookmarkEnd w:id="57"/>
      <w:r>
        <w:t xml:space="preserve">税总明确小微企业减半征税政策</w:t>
      </w:r>
    </w:p>
    <w:p>
      <w:r>
        <w:t xml:space="preserve">4月18日，国税总局发布《关于扩大小型微利企业减半征收企业所得税范围有关问题的公告》，小微企业 2014年及以后年度申报纳税适用本公告。</w:t>
      </w:r>
    </w:p>
    <w:p>
      <w:r>
        <w:t xml:space="preserve">《公告》明确了小微企业减半征税管理方式、预缴办法、汇算清缴、政策衔接等内容。</w:t>
      </w:r>
    </w:p>
    <w:p>
      <w:r>
        <w:t xml:space="preserve">《公告》指出，符合规定条件的小微企业（包括采取查账征收和核定征收方式的企业），均可按规定享受小微企业所得税优惠政策，包括企业所得税减按20%征收，以及财税〔2014〕34号文件规定的优惠政策。同时，小微企业享受优惠政策，不再执行企业申请、税务机关批准的管理方法，统一改为备案方式。</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2"/>
      </w:pPr>
      <w:bookmarkStart w:id="60" w:name="并购"/>
      <w:bookmarkEnd w:id="60"/>
      <w:r>
        <w:t xml:space="preserve">并购</w:t>
      </w:r>
    </w:p>
    <w:p>
      <w:pPr>
        <w:pStyle w:val="Heading3"/>
      </w:pPr>
      <w:bookmarkStart w:id="61" w:name="复星私有化美中互利遭狙击-收购款将多付2988万美元"/>
      <w:bookmarkEnd w:id="61"/>
      <w:r>
        <w:t xml:space="preserve">复星私有化美中互利遭狙击 收购款将多付2988万美元</w:t>
      </w:r>
    </w:p>
    <w:p>
      <w:r>
        <w:t xml:space="preserve">欲将美中互利私有化的复星医药（600196）由于遭到第三方狙击，不得不将收购价格由原先的每股19.5美元提升至24美元，按照该价格，复星医药将为此次收购多支付2988万美元。</w:t>
      </w:r>
    </w:p>
    <w:p>
      <w:r>
        <w:t xml:space="preserve">复星医药于今年2月提出对美中互利的私有化要约，当时的方案是拟以不超过1.94亿美元现金和持有的美中互利315.72万股A类股票参与私有化。根据《合并协议与计划》，自私有化交易公告发布之日起45日内，美中互利可征求并考虑由第三方提出的关于美中互利私有化的其他更有利提案。</w:t>
      </w:r>
    </w:p>
    <w:p>
      <w:r>
        <w:t xml:space="preserve">4月14日，美中互利董事会独立委员会于此期间内收到一项由第三方投资者提出的以每股现金23美元的价格实施美中互利私有化的提议，由于该价格高于复星早前的报价，对此，包括复星医药在内的私有化交易买方集团根据《合并协议与计划》的约定，对已提出的私有化交易方案及相关协议进行修订，将收购价提升至每股24美元。</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紫金矿业拟溢价30要约收购澳洲金矿"/>
      <w:bookmarkEnd w:id="64"/>
      <w:r>
        <w:t xml:space="preserve">紫金矿业拟溢价30%要约收购澳洲金矿</w:t>
      </w:r>
    </w:p>
    <w:p>
      <w:r>
        <w:t xml:space="preserve">继宣布7亿元接手洛阳钼业旗下金矿后，紫金矿业4月18日宣布公司澳交所上市的控股子公司诺顿金田有限公司，拟现金全面要约收购Bullabulling Gold Limited100%股权公告，总收购金额约2520万澳元（约合人民币1.46亿元）。</w:t>
      </w:r>
    </w:p>
    <w:p>
      <w:r>
        <w:t xml:space="preserve">4月17日诺顿金田发出收购公告，拟以每股0.07澳元的现金代价全面要约收购Bullabulling全部已发行股份。据悉，该要约价格相比澳交所4月17日Bullabulling普通股收市价溢价30%，亦比同日澳大利亚证券交易所Bullabulling普通股3个月成交量加权平均价溢价32%。</w:t>
      </w:r>
    </w:p>
    <w:p>
      <w:r>
        <w:t xml:space="preserve">资料显示，Bullabulling的总部设于西澳大利亚珀斯，该公司于澳交所及伦敦证券交易所两地上市。Bullabulling目前市值约1960万澳元（约合人民币1.14亿元），主要资产为其全资拥有位于西澳大利亚Coolgardie的Bullabulling黄金项目。</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2"/>
      </w:pPr>
      <w:bookmarkStart w:id="67" w:name="其他"/>
      <w:bookmarkEnd w:id="67"/>
      <w:r>
        <w:t xml:space="preserve">其他</w:t>
      </w:r>
    </w:p>
    <w:p>
      <w:pPr>
        <w:pStyle w:val="Heading3"/>
      </w:pPr>
      <w:bookmarkStart w:id="68" w:name="商务部反垄断局发布关于经营者集中简易案件申报的指导意见试行"/>
      <w:bookmarkEnd w:id="68"/>
      <w:r>
        <w:t xml:space="preserve">商务部反垄断局发布《关于经营者集中简易案件申报的指导意见（试行）》</w:t>
      </w:r>
    </w:p>
    <w:p>
      <w:r>
        <w:t xml:space="preserve">作为商务部公告2014年第12号《关于经营者集中简易案件适用标准的暂行规定》的辅助性规定，商务部反垄断局于4月18日公布了《关于经营者集中简易案件申报的指导意见（试行）》（以下简称《指导意见》），自公布之日起生效。</w:t>
      </w:r>
    </w:p>
    <w:p>
      <w:r>
        <w:t xml:space="preserve">《指导意见》对经营者集中简易案件申报应当提供的材料以及遵循的程序作出了具体规定。根据《指导意见》，在正式申报前，经营者可以就拟申报的交易是否符合简易案件标准等问题向反垄断局申请商谈。但商谈不是经营者集中简易案件申报的必经程序，经营者可自行决定是否申请商谈。</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新商标法5月施行-工商总局明确执行问题"/>
      <w:bookmarkEnd w:id="71"/>
      <w:r>
        <w:t xml:space="preserve">新商标法5月施行 工商总局明确执行问题</w:t>
      </w:r>
    </w:p>
    <w:p>
      <w:r>
        <w:t xml:space="preserve">国家工商总局官网4月18日消息，4月15日，国家工商总局发布《工商总局关于执行修改后的〈中华人民共和国商标法〉有关问题的通知》。</w:t>
      </w:r>
    </w:p>
    <w:p>
      <w:r>
        <w:t xml:space="preserve">《通知》明确了新旧商标法衔接的有关问题，主要涉及商标注册、商标评审、商标监督管理等三方面内容。</w:t>
      </w:r>
    </w:p>
    <w:p>
      <w:r>
        <w:t xml:space="preserve">根据《通知》，相关部门对于将“驰名商标”字样用于商品、商品包装或者容器上，或者用于广告宣传、展览以及其他商业活动中的行为，应当适用修改后的商标法处理。但是，对于将“驰名商标”字样用于商品、商品包装或者容器上并于2014年5月1日以前已经进入流通领域的除外。</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Heading3"/>
      </w:pPr>
      <w:bookmarkStart w:id="74" w:name="两高一部下发意见要求严惩利用赌博机开设赌场犯罪活动"/>
      <w:bookmarkEnd w:id="74"/>
      <w:r>
        <w:t xml:space="preserve">两高一部下发意见要求严惩利用赌博机开设赌场犯罪活动</w:t>
      </w:r>
    </w:p>
    <w:p>
      <w:r>
        <w:t xml:space="preserve">4月22日，最高人民法院、最高人民检察院、公安部近日联合印发了《关于办理利用赌博机开设赌场案件适用法律若干问题的意见》（以下简称《意见》），明确规定对利用赌博机开设赌场定罪量刑的具体标准等内容。</w:t>
      </w:r>
    </w:p>
    <w:p>
      <w:r>
        <w:t xml:space="preserve">根据《意见》，对设置10台以上赌博机组织赌博活动，设置2台以上赌博机、容留未成年人赌博，或者在中小学校附近设置2台以上赌博机等行为，应当按照刑法规定的开设赌场罪定罪处罚。此外，对明知他人利用赌博机开设赌场，提供赌博机、资金、场地、技术支持、资金结算服务的，或者参与赌场管理并领取高额固定工资等行为，以开设赌场罪的共犯论处。</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Heading3"/>
      </w:pPr>
      <w:bookmarkStart w:id="77" w:name="国务院发文清理各部门非行政许可审批事项"/>
      <w:bookmarkEnd w:id="77"/>
      <w:r>
        <w:t xml:space="preserve">国务院发文清理各部门非行政许可审批事项</w:t>
      </w:r>
    </w:p>
    <w:p>
      <w:r>
        <w:t xml:space="preserve">国务院官网4月22日消息，4月14日，国务院发布《关于清理国务院部门非行政许可审批事项的通知》（以下简称《通知》）。</w:t>
      </w:r>
    </w:p>
    <w:p>
      <w:r>
        <w:t xml:space="preserve">根据《通知》，此次清理对象为已向社会公开的国务院各部门行政审批事项汇总清单所列非行政许可审批事项，包括面向公民、法人或其他组织的审批事项和面向地方政府等方面的审批事项。《通知》要求，各部门面向公民、法人或其他组织的非行政许可审批事项，要于《通知》印发后一年内予以取消。同时，任何部门或单位不得在法律、行政法规和国务院决定之外，设定面向公民、法人或其他组织的审批事项。</w:t>
      </w:r>
    </w:p>
    <w:p>
      <w:hyperlink r:id="rId78">
        <w:r>
          <w:rPr>
            <w:rStyle w:val="Link"/>
          </w:rPr>
          <w:t xml:space="preserve">来源</w:t>
        </w:r>
      </w:hyperlink>
      <w:r>
        <w:t xml:space="preserve"> </w:t>
      </w:r>
      <w:r>
        <w:t xml:space="preserve">(</w:t>
      </w:r>
      <w:hyperlink r:id="rId79">
        <w:r>
          <w:rPr>
            <w:rStyle w:val="Link"/>
          </w:rPr>
          <w:t xml:space="preserve">副本</w:t>
        </w:r>
      </w:hyperlink>
      <w:r>
        <w:t xml:space="preserve">)</w:t>
      </w:r>
    </w:p>
    <w:p>
      <w:pPr>
        <w:pStyle w:val="Heading3"/>
      </w:pPr>
      <w:bookmarkStart w:id="80" w:name="上海市将公开住房公积金信息"/>
      <w:bookmarkEnd w:id="80"/>
      <w:r>
        <w:t xml:space="preserve">上海市将公开住房公积金信息</w:t>
      </w:r>
    </w:p>
    <w:p>
      <w:r>
        <w:t xml:space="preserve">4月18日，上海市住房公积金管理委员会印发《上海市住房公积金信息公开办法（试行）》（以下简称《办法》），《办法》自2014年10月1日起试行。</w:t>
      </w:r>
    </w:p>
    <w:p>
      <w:r>
        <w:t xml:space="preserve">《办法》将住房公积金信息公开情形分为了主动公开、不予公开、依申请公开三种。此外，《办法》所称住房公积金信息，是指上海市住房公积金管理委员会和上海市公积金管理中心在住房公积金决策、管理过程中制作或者获取的，以一定形式记录、保存的信息。住房公积金缴存单位、个人查询本单位、本人住房公积金的缴存、提取等情况，不适用该《办法》。</w:t>
      </w:r>
    </w:p>
    <w:p>
      <w:hyperlink r:id="rId81">
        <w:r>
          <w:rPr>
            <w:rStyle w:val="Link"/>
          </w:rPr>
          <w:t xml:space="preserve">来源</w:t>
        </w:r>
      </w:hyperlink>
      <w:r>
        <w:t xml:space="preserve"> </w:t>
      </w:r>
      <w:r>
        <w:t xml:space="preserve">(</w:t>
      </w:r>
      <w:hyperlink r:id="rId82">
        <w:r>
          <w:rPr>
            <w:rStyle w:val="Link"/>
          </w:rPr>
          <w:t xml:space="preserve">副本</w:t>
        </w:r>
      </w:hyperlink>
      <w:r>
        <w:t xml:space="preserve">)</w:t>
      </w:r>
    </w:p>
    <w:p>
      <w:pPr>
        <w:pStyle w:val="Heading3"/>
      </w:pPr>
      <w:bookmarkStart w:id="83" w:name="两部门联合印发外经贸发展专项资金管理办法"/>
      <w:bookmarkEnd w:id="83"/>
      <w:r>
        <w:t xml:space="preserve">两部门联合印发《外经贸发展专项资金管理办法》</w:t>
      </w:r>
    </w:p>
    <w:p>
      <w:r>
        <w:t xml:space="preserve">近日，财政部、商务部联合印发了《外经贸发展专项资金管理办法》（以下简称《办法》）。</w:t>
      </w:r>
    </w:p>
    <w:p>
      <w:r>
        <w:t xml:space="preserve">《办法》所称外经贸发展专项资金，是指中央财政安排的用于优化对外贸易结构、促进对外投资合作、改善外经贸公共服务等的专项资金。《办法》明确了外经贸发展专项资的使用方向及分配方式。根据《办法》，外经贸发展专项资金的分配方式分为因素法和项目法两种。</w:t>
      </w:r>
    </w:p>
    <w:p>
      <w:hyperlink r:id="rId84">
        <w:r>
          <w:rPr>
            <w:rStyle w:val="Link"/>
          </w:rPr>
          <w:t xml:space="preserve">来源</w:t>
        </w:r>
      </w:hyperlink>
      <w:r>
        <w:t xml:space="preserve"> </w:t>
      </w:r>
      <w:r>
        <w:t xml:space="preserve">(</w:t>
      </w:r>
      <w:hyperlink r:id="rId85">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6">
        <w:r>
          <w:rPr>
            <w:rStyle w:val="Link"/>
          </w:rPr>
          <w:t xml:space="preserve">unsubscribe@charltonslaw.com</w:t>
        </w:r>
      </w:hyperlink>
    </w:p>
    <w:p>
      <w:r>
        <w:rPr>
          <w:b/>
        </w:rPr>
        <w:t xml:space="preserve">易周律师行 - 法讯 - 中国 - 第403期 - 2014年04月25日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c7d95e8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76"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25" Target="http://epaper.stcn.com/paper/zqsb/html/2014-04/18/content_565033.htm" TargetMode="External" /><Relationship Type="http://schemas.openxmlformats.org/officeDocument/2006/relationships/hyperlink" Id="rId65" Target="http://epaper.stcn.com/paper/zqsb/html/2014-04/18/content_565056.htm" TargetMode="External" /><Relationship Type="http://schemas.openxmlformats.org/officeDocument/2006/relationships/hyperlink" Id="rId62" Target="http://epaper.stcn.com/paper/zqsb/html/2014-04/21/content_566447.htm" TargetMode="External" /><Relationship Type="http://schemas.openxmlformats.org/officeDocument/2006/relationships/hyperlink" Id="rId31" Target="http://epaper.stcn.com/paper/zqsb/html/epaper/index/content_568529.htm" TargetMode="External" /><Relationship Type="http://schemas.openxmlformats.org/officeDocument/2006/relationships/hyperlink" Id="rId69" Target="http://fldj.mofcom.gov.cn/article/xgxz/201404/20140400555353.shtml" TargetMode="External" /><Relationship Type="http://schemas.openxmlformats.org/officeDocument/2006/relationships/hyperlink" Id="rId84" Target="http://qys.mof.gov.cn/zhengwuxinxi/zhengcefabu/201404/t20140422_1070187.html" TargetMode="External" /><Relationship Type="http://schemas.openxmlformats.org/officeDocument/2006/relationships/hyperlink" Id="rId37" Target="http://www.cbrc.gov.cn/chinese/home/docView/C25D8699D4B244CA80568D17FF8394C2.html" TargetMode="External" /><Relationship Type="http://schemas.openxmlformats.org/officeDocument/2006/relationships/hyperlink" Id="rId28" Target="http://www.cbrc.gov.cn/chinese/home/docView/D634DB6B19F34391AF5FEAE17986C93A.html" TargetMode="External" /><Relationship Type="http://schemas.openxmlformats.org/officeDocument/2006/relationships/hyperlink" Id="rId21" Target="http://www.charltonslaw.com.cn/china-news-alerts-cn-issue-403/" TargetMode="External" /><Relationship Type="http://schemas.openxmlformats.org/officeDocument/2006/relationships/hyperlink" Id="rId55" Target="http://www.chinatax.gov.cn/n2226/n2271/n2272/c695999/content.html" TargetMode="External" /><Relationship Type="http://schemas.openxmlformats.org/officeDocument/2006/relationships/hyperlink" Id="rId58" Target="http://www.chinatax.gov.cn/n2226/n2271/n2272/c696021/content.html" TargetMode="External" /><Relationship Type="http://schemas.openxmlformats.org/officeDocument/2006/relationships/hyperlink" Id="rId51" Target="http://www.circ.gov.cn/web/site0/tab5168/info3913563.htm" TargetMode="External" /><Relationship Type="http://schemas.openxmlformats.org/officeDocument/2006/relationships/hyperlink" Id="rId34" Target="http://www.gov.cn/zhengce/content/2014-04/22/content_8771.htm" TargetMode="External" /><Relationship Type="http://schemas.openxmlformats.org/officeDocument/2006/relationships/hyperlink" Id="rId78" Target="http://www.gov.cn/zhengce/content/2014-04/22/content_8773.htm" TargetMode="External" /><Relationship Type="http://schemas.openxmlformats.org/officeDocument/2006/relationships/hyperlink" Id="rId44" Target="http://www.gov.cn/zhengce/content/2014-04/23/content_8777.htm" TargetMode="External" /><Relationship Type="http://schemas.openxmlformats.org/officeDocument/2006/relationships/hyperlink" Id="rId75" Target="http://www.legaldaily.com.cn/xwzx/content/2014-04/22/content_5471389.htm" TargetMode="External" /><Relationship Type="http://schemas.openxmlformats.org/officeDocument/2006/relationships/hyperlink" Id="rId47" Target="http://www.mlr.gov.cn/zwgk/zytz/201404/t20140423_1313710.htm" TargetMode="External" /><Relationship Type="http://schemas.openxmlformats.org/officeDocument/2006/relationships/hyperlink" Id="rId72" Target="http://www.saic.gov.cn/zwgk/zyfb/zjwj/xxzx/201404/t20140418_144037.html" TargetMode="External" /><Relationship Type="http://schemas.openxmlformats.org/officeDocument/2006/relationships/hyperlink" Id="rId41" Target="http://www.shanghai.gov.cn/shanghai/node2314/node2319/node12344/u26ai38861.html" TargetMode="External" /><Relationship Type="http://schemas.openxmlformats.org/officeDocument/2006/relationships/hyperlink" Id="rId81" Target="http://www.shanghai.gov.cn/shanghai/node2314/node2319/node12344/u26ai38906.html" TargetMode="External" /><Relationship Type="http://schemas.openxmlformats.org/officeDocument/2006/relationships/hyperlink" Id="rId8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76"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25" Target="http://epaper.stcn.com/paper/zqsb/html/2014-04/18/content_565033.htm" TargetMode="External" /><Relationship Type="http://schemas.openxmlformats.org/officeDocument/2006/relationships/hyperlink" Id="rId65" Target="http://epaper.stcn.com/paper/zqsb/html/2014-04/18/content_565056.htm" TargetMode="External" /><Relationship Type="http://schemas.openxmlformats.org/officeDocument/2006/relationships/hyperlink" Id="rId62" Target="http://epaper.stcn.com/paper/zqsb/html/2014-04/21/content_566447.htm" TargetMode="External" /><Relationship Type="http://schemas.openxmlformats.org/officeDocument/2006/relationships/hyperlink" Id="rId31" Target="http://epaper.stcn.com/paper/zqsb/html/epaper/index/content_568529.htm" TargetMode="External" /><Relationship Type="http://schemas.openxmlformats.org/officeDocument/2006/relationships/hyperlink" Id="rId69" Target="http://fldj.mofcom.gov.cn/article/xgxz/201404/20140400555353.shtml" TargetMode="External" /><Relationship Type="http://schemas.openxmlformats.org/officeDocument/2006/relationships/hyperlink" Id="rId84" Target="http://qys.mof.gov.cn/zhengwuxinxi/zhengcefabu/201404/t20140422_1070187.html" TargetMode="External" /><Relationship Type="http://schemas.openxmlformats.org/officeDocument/2006/relationships/hyperlink" Id="rId37" Target="http://www.cbrc.gov.cn/chinese/home/docView/C25D8699D4B244CA80568D17FF8394C2.html" TargetMode="External" /><Relationship Type="http://schemas.openxmlformats.org/officeDocument/2006/relationships/hyperlink" Id="rId28" Target="http://www.cbrc.gov.cn/chinese/home/docView/D634DB6B19F34391AF5FEAE17986C93A.html" TargetMode="External" /><Relationship Type="http://schemas.openxmlformats.org/officeDocument/2006/relationships/hyperlink" Id="rId21" Target="http://www.charltonslaw.com.cn/china-news-alerts-cn-issue-403/" TargetMode="External" /><Relationship Type="http://schemas.openxmlformats.org/officeDocument/2006/relationships/hyperlink" Id="rId55" Target="http://www.chinatax.gov.cn/n2226/n2271/n2272/c695999/content.html" TargetMode="External" /><Relationship Type="http://schemas.openxmlformats.org/officeDocument/2006/relationships/hyperlink" Id="rId58" Target="http://www.chinatax.gov.cn/n2226/n2271/n2272/c696021/content.html" TargetMode="External" /><Relationship Type="http://schemas.openxmlformats.org/officeDocument/2006/relationships/hyperlink" Id="rId51" Target="http://www.circ.gov.cn/web/site0/tab5168/info3913563.htm" TargetMode="External" /><Relationship Type="http://schemas.openxmlformats.org/officeDocument/2006/relationships/hyperlink" Id="rId34" Target="http://www.gov.cn/zhengce/content/2014-04/22/content_8771.htm" TargetMode="External" /><Relationship Type="http://schemas.openxmlformats.org/officeDocument/2006/relationships/hyperlink" Id="rId78" Target="http://www.gov.cn/zhengce/content/2014-04/22/content_8773.htm" TargetMode="External" /><Relationship Type="http://schemas.openxmlformats.org/officeDocument/2006/relationships/hyperlink" Id="rId44" Target="http://www.gov.cn/zhengce/content/2014-04/23/content_8777.htm" TargetMode="External" /><Relationship Type="http://schemas.openxmlformats.org/officeDocument/2006/relationships/hyperlink" Id="rId75" Target="http://www.legaldaily.com.cn/xwzx/content/2014-04/22/content_5471389.htm" TargetMode="External" /><Relationship Type="http://schemas.openxmlformats.org/officeDocument/2006/relationships/hyperlink" Id="rId47" Target="http://www.mlr.gov.cn/zwgk/zytz/201404/t20140423_1313710.htm" TargetMode="External" /><Relationship Type="http://schemas.openxmlformats.org/officeDocument/2006/relationships/hyperlink" Id="rId72" Target="http://www.saic.gov.cn/zwgk/zyfb/zjwj/xxzx/201404/t20140418_144037.html" TargetMode="External" /><Relationship Type="http://schemas.openxmlformats.org/officeDocument/2006/relationships/hyperlink" Id="rId41" Target="http://www.shanghai.gov.cn/shanghai/node2314/node2319/node12344/u26ai38861.html" TargetMode="External" /><Relationship Type="http://schemas.openxmlformats.org/officeDocument/2006/relationships/hyperlink" Id="rId81" Target="http://www.shanghai.gov.cn/shanghai/node2314/node2319/node12344/u26ai38906.html" TargetMode="External" /><Relationship Type="http://schemas.openxmlformats.org/officeDocument/2006/relationships/hyperlink" Id="rId8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第403期 - 2014年04月25日</dc:title>
  <dc:creator/>
</cp:coreProperties>
</file>