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第405期</w:t>
      </w:r>
      <w:r>
        <w:t xml:space="preserve"> </w:t>
      </w:r>
      <w:r>
        <w:t xml:space="preserve">-</w:t>
      </w:r>
      <w:r>
        <w:t xml:space="preserve"> </w:t>
      </w:r>
      <w:r>
        <w:t xml:space="preserve">2014年05月09日</w:t>
      </w:r>
    </w:p>
    <w:p>
      <w:hyperlink r:id="rId21">
        <w:r>
          <w:rPr>
            <w:rStyle w:val="Link"/>
          </w:rPr>
          <w:t xml:space="preserve">网络版</w:t>
        </w:r>
      </w:hyperlink>
    </w:p>
    <w:p>
      <w:pPr>
        <w:pStyle w:val="Heading1"/>
      </w:pPr>
      <w:bookmarkStart w:id="22" w:name="法讯中国第405期"/>
      <w:bookmarkEnd w:id="22"/>
      <w:r>
        <w:t xml:space="preserve">法讯中国第405期</w:t>
      </w:r>
    </w:p>
    <w:p>
      <w:pPr>
        <w:pStyle w:val="Heading2"/>
      </w:pPr>
      <w:bookmarkStart w:id="23" w:name="资本市场"/>
      <w:bookmarkEnd w:id="23"/>
      <w:r>
        <w:t xml:space="preserve">资本市场</w:t>
      </w:r>
    </w:p>
    <w:p>
      <w:pPr>
        <w:pStyle w:val="Heading3"/>
      </w:pPr>
      <w:bookmarkStart w:id="24" w:name="北京银监局个人消费贷不得用于购房"/>
      <w:bookmarkEnd w:id="24"/>
      <w:r>
        <w:t xml:space="preserve">北京银监局：个人消费贷不得用于购房</w:t>
      </w:r>
    </w:p>
    <w:p>
      <w:r>
        <w:t xml:space="preserve">北京银监局5月6日发布《北京银监局关于个人综合消费贷款领域风险提示的通知》，提示辖内各银行防范消费贷款风险，原则上个人综合消费贷款发放金额不超过100万元、期限10年以内。</w:t>
      </w:r>
    </w:p>
    <w:p>
      <w:r>
        <w:t xml:space="preserve">北京银监局在《通知》中表示，在日常监管中发现，个别银行个人综合消费贷款存在制度内容规定不够审慎，贷款金额较大、期限较长，明显与日常消费属性不匹配，使贷款被挪用于股市投资、购买住房、生产经营等方面。</w:t>
      </w:r>
    </w:p>
    <w:p>
      <w:r>
        <w:t xml:space="preserve">《通知》指出，应加大对改善民生、居民日常消费需求等方面的贷款投放，不得用于购房、投资等非消费领域。不得利用个人住房按揭贷款与个人综合消费贷款相捆绑的个人组合贷款品种，辗转为住房按揭贷款提供首付款资金需求。</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股转系统新交易结算系统将于5月19日上线"/>
      <w:bookmarkEnd w:id="27"/>
      <w:r>
        <w:t xml:space="preserve">股转系统新交易结算系统将于5月19日上线</w:t>
      </w:r>
    </w:p>
    <w:p>
      <w:r>
        <w:t xml:space="preserve">全国中小企业股份转让系统（简称“股转系统”）5月6日发布通知，初步确定于5月19日启用新交易结算系统，届时，由深交所提供技术支持的原代办股份转让系统同步下线，中国结算深圳分公司运营的全国股份转让登记结算系统也切换至中国结算北京分公司。</w:t>
      </w:r>
    </w:p>
    <w:p>
      <w:r>
        <w:t xml:space="preserve">本次切换上线的新交易结算系统是全国股份转让系统交易支持平台一期，主要支持挂牌公司股票的协议转让、两网及退市公司股票的集合竞价转让等功能。做市转让、竞价转让等功能今后将陆续开发。股转系统总经理助理隋强曾表示，二期预计将于8月上线，二期上线后，做市转让功能将正式落地。</w:t>
      </w:r>
    </w:p>
    <w:p>
      <w:r>
        <w:t xml:space="preserve">通知称，本次切换需要5天的上线准备时间。另外，由于老三板B股是T+3日交收，对于每周交易3次的3只老三板B股公司股票，还需要另外暂停转让2天。</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行业"/>
      <w:bookmarkEnd w:id="30"/>
      <w:r>
        <w:t xml:space="preserve">行业</w:t>
      </w:r>
    </w:p>
    <w:p>
      <w:pPr>
        <w:pStyle w:val="Heading3"/>
      </w:pPr>
      <w:bookmarkStart w:id="31" w:name="财政部进一步提高中央企业国有资本收益收取比例"/>
      <w:bookmarkEnd w:id="31"/>
      <w:r>
        <w:t xml:space="preserve">财政部进一步提高中央企业国有资本收益收取比例</w:t>
      </w:r>
    </w:p>
    <w:p>
      <w:r>
        <w:t xml:space="preserve">5月6日，财政部印发《关于进一步提高中央企业国有资本收益收取比例的通知》（以下简称《通知》）。</w:t>
      </w:r>
    </w:p>
    <w:p>
      <w:r>
        <w:t xml:space="preserve">根据《通知》，国有独资企业应交利润收取比例在现有基础上提高5个百分点，即：第一类企业为25%；第二类企业为20%；第三类企业为15%；第四类企业为10%；第五类企业免交当年应交利润。此外，《通知》明确，符合小型微型企业规定标准的国有独资企业，应交利润不足10万元的，比照第五类企业，免交当年应交利润。</w:t>
      </w:r>
    </w:p>
    <w:p>
      <w:r>
        <w:t xml:space="preserve">财政部发布的中央企业应交利润收取比例分类表显示，第一类企业仅有1家，即中国烟草总公司；第二类企业共14家，主要包括石油、煤炭、电力、通讯等行业的央企，如中石油、中石化、中海油、国电集团、国家电网、神华集团、中国移动等；第三类企业共70家，主要为冶金、机械、航空、汽车、建筑等行业央企，包括中国铝业、华润、国新控股、招商局集团等；第四类企业包括核工、航天、船舶、兵器行业的央企以及研究院所、教育部所属企业等；第五类企业仅包括中储粮和中储棉。</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国务院印发贯彻实施质量发展纲要2014年行动计划"/>
      <w:bookmarkEnd w:id="34"/>
      <w:r>
        <w:t xml:space="preserve">国务院印发《贯彻实施质量发展纲要2014年行动计划》</w:t>
      </w:r>
    </w:p>
    <w:p>
      <w:r>
        <w:t xml:space="preserve">5月7日，国务院办公厅印发《贯彻实施质量发展纲要2014年行动计划》（以下简称“计划”）。</w:t>
      </w:r>
    </w:p>
    <w:p>
      <w:r>
        <w:t xml:space="preserve">计划指出，各地政府部门要加强食品农产品、消费品等重点产品、电子等新兴产业、工程和设备制造等重点领域质量安全监管。此外，计划还就建立优胜劣汰的质量发展市场机制提出了具体措施。计划明确，各地政府部门要探索建立企业质量信用信息公示制度，发布企业产品质量“红黑榜”，规范质量信用分级分类管理。</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工信部印发通信工程建设项目招标投标管理办法"/>
      <w:bookmarkEnd w:id="37"/>
      <w:r>
        <w:t xml:space="preserve">工信部印发《通信工程建设项目招标投标管理办法》</w:t>
      </w:r>
    </w:p>
    <w:p>
      <w:r>
        <w:t xml:space="preserve">5月6日工信部官网消息，5月4日，工业和信息化部印发《通信工程建设项目招标投标管理办法》（以下简称《办法》，自2014年7月1日起施行。</w:t>
      </w:r>
    </w:p>
    <w:p>
      <w:r>
        <w:t xml:space="preserve">根据《办法》，国有资金占控股或者主导地位的依法必须进行招标的通信工程建设项目，应当公开招标；但有下列情形之一的，可以邀请招标：技术复杂、有特殊要求或者受自然环境限制，只有少量潜在投标人可供选择；采用公开招标方式的费用占项目合同金额的比例过大。此外，《办法》明确了招标人、招标代理机构违反《办法》规定应当承担的法律责任。</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两部门联合发文推动新闻出版业数字化转型升级"/>
      <w:bookmarkEnd w:id="40"/>
      <w:r>
        <w:t xml:space="preserve">两部门联合发文推动新闻出版业数字化转型升级</w:t>
      </w:r>
    </w:p>
    <w:p>
      <w:r>
        <w:t xml:space="preserve">国家新闻出版广电总局、财政部近日联合发布《关于推动新闻出版业数字化转型升级的指导意见》。</w:t>
      </w:r>
    </w:p>
    <w:p>
      <w:r>
        <w:t xml:space="preserve">《意见》明确了推动新闻出版业数字化转型升级的目标，即通过3年时间，支持一批新闻出版企业、实施一批转型升级项目，带动和加快新闻出版业整体转型升级步伐。</w:t>
      </w:r>
    </w:p>
    <w:p>
      <w:r>
        <w:t xml:space="preserve">《意见》提出了推动新闻出版业数字化转型升级的四方面任务：开展数字化转型升级标准化工作；提升数字化转型升级技术装备水平；加强数字出版人才队伍建设；探索数字化转型升级新模式。</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发改委发文明确改进低价药品价格管理有关问题"/>
      <w:bookmarkEnd w:id="43"/>
      <w:r>
        <w:t xml:space="preserve">发改委发文明确改进低价药品价格管理有关问题</w:t>
      </w:r>
    </w:p>
    <w:p>
      <w:r>
        <w:t xml:space="preserve">近日，国家发展改革委发布《关于改进低价药品价格管理有关问题的通知》（以下简称《通知》）。</w:t>
      </w:r>
    </w:p>
    <w:p>
      <w:r>
        <w:t xml:space="preserve">根据《通知》，对现行政府指导价范围内日均费用较低的药品（低价药品），发改委决定取消政府制定的最高零售价格。生产经营者可在日均费用标准内根据药品生产成本和市场供求及竞争状况制定具体购销价格。此外，发改委将建立低价药品清单进入和退出机制，加强市场价格行为监管及政策联动。</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保险"/>
      <w:bookmarkEnd w:id="46"/>
      <w:r>
        <w:t xml:space="preserve">保险</w:t>
      </w:r>
    </w:p>
    <w:p>
      <w:pPr>
        <w:pStyle w:val="Heading3"/>
      </w:pPr>
      <w:bookmarkStart w:id="47" w:name="保监会明确保险资金投资集合资金信托计划有关事项"/>
      <w:bookmarkEnd w:id="47"/>
      <w:r>
        <w:t xml:space="preserve">保监会明确保险资金投资集合资金信托计划有关事项</w:t>
      </w:r>
    </w:p>
    <w:p>
      <w:r>
        <w:t xml:space="preserve">5月5日，保监会发布《关于保险资金投资集合资金信托计划有关事项的通知》（以下简称《通知》），自发布之日起施行。</w:t>
      </w:r>
    </w:p>
    <w:p>
      <w:r>
        <w:t xml:space="preserve">《通知》要求，保险机构投资集合资金信托计划，应当明确信托公司选择标准，完善持续评价机制，并将执行情况纳入年度内控审计。根据《通知》，担任受托人的信托公司应当具备以下条件：近三年公司及高级管理人员未发生重大刑事案件且未受监管机构行政处罚；承诺向保险业相关行业组织报送相关信息；上年末经审计的净资产不低于30亿元人民币。</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并购"/>
      <w:bookmarkEnd w:id="50"/>
      <w:r>
        <w:t xml:space="preserve">并购</w:t>
      </w:r>
    </w:p>
    <w:p>
      <w:pPr>
        <w:pStyle w:val="Heading3"/>
      </w:pPr>
      <w:bookmarkStart w:id="51" w:name="威海广泰定增募资6.2亿收购营口新山鹰80股权"/>
      <w:bookmarkEnd w:id="51"/>
      <w:r>
        <w:t xml:space="preserve">威海广泰定增募资6.2亿收购营口新山鹰80%股权</w:t>
      </w:r>
    </w:p>
    <w:p>
      <w:r>
        <w:t xml:space="preserve">威海广泰5月8日公布了定增预案。公司拟以不超过11.68元/股的价格，非公开发行不超过5308.22万股，募集资金总额不超过6.2亿元，用于收购营口新山鹰报警设备有限公司80%股权及补充流动资金。</w:t>
      </w:r>
    </w:p>
    <w:p>
      <w:r>
        <w:t xml:space="preserve">此次定增的发行对象包括控股股东新疆广泰、重庆信三威、范晓东、杨森，因此构成关联交易。范晓东及杨森承诺，营口新山鹰2014年至2016年实现的净利润分别不低于5501万元、6491万元及7510万元，并追加承诺在2014年至2016年期间实现的累计净利润数不低于2.4亿元。</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泰格医药3亿并购美企方达医药"/>
      <w:bookmarkEnd w:id="54"/>
      <w:r>
        <w:t xml:space="preserve">泰格医药3亿并购美企方达医药</w:t>
      </w:r>
    </w:p>
    <w:p>
      <w:r>
        <w:t xml:space="preserve">5月7日，泰格医药（300347）发布重大资产重组草案并复牌。公司全资子公司香港泰格拟以5025万美元现金支付方式，收购美国方达医药技术有限公司控股股权，资金来源为超募资金和自有资金。本次交易完成后，香港泰格持有方达医药69.84%股份。</w:t>
      </w:r>
    </w:p>
    <w:p>
      <w:r>
        <w:t xml:space="preserve">公告显示，方达医药是一家在全球制药业声誉极佳的合同研发组织。另外，方达医药在中国境内拥有的全资子公司方达医药技术（上海）有限公司，也为中国制药公司和跨国公司提供早期临床研究、生物分析、制剂工艺开发和CMC的服务。</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腾讯11.7亿入股四维图新"/>
      <w:bookmarkEnd w:id="57"/>
      <w:r>
        <w:t xml:space="preserve">腾讯11.7亿入股四维图新</w:t>
      </w:r>
    </w:p>
    <w:p>
      <w:r>
        <w:t xml:space="preserve">四维图新5月6日公告，公司收到控股股东中国四维测绘技术总公司书面通知，中国四维已于4月29日与深圳市腾讯产业投资基金有限公司签署了《股份转让协议》，协议转让所持有的公司部分股份，即7800万股无限售条件流通股。</w:t>
      </w:r>
    </w:p>
    <w:p>
      <w:r>
        <w:t xml:space="preserve">根据双方协议，中国四维将其持有的四维图新7800万股（占公司总股本的11.28%）转予腾讯产业投资基金，单价为15.04元/股，股份转让总价11.73亿元。</w:t>
      </w:r>
    </w:p>
    <w:p>
      <w:r>
        <w:t xml:space="preserve">转让完成后，中国四维持有公司股份为12.58%，仍为公司第一大股东，但较腾讯的持股比例仅多出微弱的1.3%。</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东方宾馆6400万元购岭南酒管"/>
      <w:bookmarkEnd w:id="60"/>
      <w:r>
        <w:t xml:space="preserve">东方宾馆6400万元购岭南酒管</w:t>
      </w:r>
    </w:p>
    <w:p>
      <w:r>
        <w:t xml:space="preserve">东方宾馆5月6日公告，东方宾馆拟以6400万元现金收购广州岭南国际酒店管理有限公司100%股权，以解决和大股东岭南集团之间的同业竞争问题，相关议案尚待股东大会审议通过。</w:t>
      </w:r>
    </w:p>
    <w:p>
      <w:r>
        <w:t xml:space="preserve">公告显示，岭南酒管以酒店管理为主营业务。目前，岭南酒管共受托管理各类酒店21家。其中，除中国大酒店和鸣泉居已由非关联第三方进行管理、韶关西河流花宾馆和惠福大酒店已停止酒店业务外，岭南集团拥有产权的其他所有酒店共15家均已委托岭南酒管管理，委托管理期限为20年。根据行业惯例和已签署的酒店委托管理合同，岭南酒管对上述21家酒店进行受托管理时所收取的管理费包括基本管理费、奖励管理费等。其中，根据不同项目的实际情况按营业收入的1.5%至2.8%收取基本管理费，按年度经营利润的不同比例递增收取奖励管理费。</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光线传媒2.3亿收购仙海科技20股权"/>
      <w:bookmarkEnd w:id="63"/>
      <w:r>
        <w:t xml:space="preserve">光线传媒2.3亿收购仙海科技20%股权</w:t>
      </w:r>
    </w:p>
    <w:p>
      <w:r>
        <w:t xml:space="preserve">光线传媒5月5日发布公告，公司拟斥资2.3亿元收购广州仙海网络科技有限公司部分股权并增资，项目完成后公司持有仙海科技20%股权。</w:t>
      </w:r>
    </w:p>
    <w:p>
      <w:r>
        <w:t xml:space="preserve">公司日前已与仙海科技签署《投资协议》，该收购已通过公司董事会审议，此次收购资金将来源于公司自有资金。</w:t>
      </w:r>
    </w:p>
    <w:p>
      <w:r>
        <w:t xml:space="preserve">广州仙海网络科技有限公司注册资本1001万元，经营范围为增值电信服务；网络游戏服务；游戏设计制作；动漫及衍生产品设计服务等。2013年仙海科技实现净利5734.91万元。</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知识产权"/>
      <w:bookmarkEnd w:id="66"/>
      <w:r>
        <w:t xml:space="preserve">知识产权</w:t>
      </w:r>
    </w:p>
    <w:p>
      <w:pPr>
        <w:pStyle w:val="Heading3"/>
      </w:pPr>
      <w:bookmarkStart w:id="67" w:name="三星因专利侵权被判赔偿苹果上亿美元"/>
      <w:bookmarkEnd w:id="67"/>
      <w:r>
        <w:t xml:space="preserve">三星因专利侵权被判赔偿苹果上亿美元</w:t>
      </w:r>
    </w:p>
    <w:p>
      <w:r>
        <w:t xml:space="preserve">美国加利福尼亚州圣何塞一家联邦法院的陪审团近日就苹果与三星的第二轮专利诉讼案裁定，三星侵犯苹果两项专利。加上此前法官裁定的一项专利侵权，三星共需支付赔偿金近1.2亿美元。</w:t>
      </w:r>
    </w:p>
    <w:p>
      <w:r>
        <w:t xml:space="preserve">陪审团认为，三星产品侵犯了苹果的滑屏解锁等两项专利，另两项专利侵权指控则不成立，三项专利侵权的赔偿金额合计为1.196亿美元。不过，有分析人士表示，这一数额不到苹果索赔金额22亿美元的10%，可能还不足以弥补苹果的诉讼费用，而且苹果还没能阻止三星近年来蚕食其市场份额，此次判决与其说苹果小胜，还不如说是三星的胜利。</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商评委明确商标法修改决定施行后商标评审案件有关问题"/>
      <w:bookmarkEnd w:id="70"/>
      <w:r>
        <w:t xml:space="preserve">商评委明确商标法修改决定施行后商标评审案件有关问题</w:t>
      </w:r>
    </w:p>
    <w:p>
      <w:r>
        <w:t xml:space="preserve">国家工商总局商标评审委员会日前发布《关于商标法修改决定施行后商标评审案件有关问题的通知》。</w:t>
      </w:r>
    </w:p>
    <w:p>
      <w:r>
        <w:t xml:space="preserve">《通知》明确，对于申请人于商标法修改决定施行前已经提出申请商标评审委员会尚未审结的争议案件，商标评审委员会于商标法修改决定施行后参照无效宣告案件进行审理，作出关于无效宣告请求的裁定。商标局在商标法修改决定施行前作出的异议裁定，当事人于2014年5月1日前（不包括5月1日）收到的，可以提出异议复审申请，符合15天法定复审期限的，商标评审委员会予以受理。</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2"/>
      </w:pPr>
      <w:bookmarkStart w:id="73" w:name="其他"/>
      <w:bookmarkEnd w:id="73"/>
      <w:r>
        <w:t xml:space="preserve">其他</w:t>
      </w:r>
    </w:p>
    <w:p>
      <w:pPr>
        <w:pStyle w:val="Heading3"/>
      </w:pPr>
      <w:bookmarkStart w:id="74" w:name="阿里将赴美上市-ipo或超百亿"/>
      <w:bookmarkEnd w:id="74"/>
      <w:r>
        <w:t xml:space="preserve">阿里将赴美上市 IPO或超百亿</w:t>
      </w:r>
    </w:p>
    <w:p>
      <w:r>
        <w:t xml:space="preserve">美国时间5月6日下午收盘后，阿里巴巴正式向美国监管部门递交了IPO申请文件，将成为美股历史上规模最大的互联网IPO之一。美国资本市场终于将迎来这只中国大鳄。</w:t>
      </w:r>
    </w:p>
    <w:p>
      <w:r>
        <w:t xml:space="preserve">一旦IPO计划获得美国监管部门批准，承销商开始行动，分析师认为此次IPO将最多可以融资超过200亿美元，这意味着将超过2012年Facebook创下的164亿美元互联网企业IPO融资纪录，以及2008年Visa信用卡IPO时的179亿美元巨额融资。</w:t>
      </w:r>
    </w:p>
    <w:p>
      <w:r>
        <w:t xml:space="preserve">阿里巴巴已经在此次的IPO申请中确认了六家主要承销商，包括瑞士信贷、德意志银行、高盛、摩根大通与摩根士丹利与花旗集团，这些世界顶级投行云集意味着阿里巴巴的这单IPO规模将十分可观。</w:t>
      </w:r>
    </w:p>
    <w:p>
      <w:r>
        <w:t xml:space="preserve">与此同时，中介机构开始进行尽职调查，并且对公司的股权结构进行查看与更改。对于中国公司来说，通过VIE结构赴美上市是主要的路径。</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7">
        <w:r>
          <w:rPr>
            <w:rStyle w:val="Link"/>
          </w:rPr>
          <w:t xml:space="preserve">unsubscribe@charltonslaw.com</w:t>
        </w:r>
      </w:hyperlink>
    </w:p>
    <w:p>
      <w:r>
        <w:rPr>
          <w:b/>
        </w:rPr>
        <w:t xml:space="preserve">易周律师行 - 法讯 - 中国 - 第405期 - 2014年05月09日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3539f7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6" Target="16.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68" Target="http://epaper.stcn.com/paper/zqsb/html/2014-05/05/content_572425.htm" TargetMode="External" /><Relationship Type="http://schemas.openxmlformats.org/officeDocument/2006/relationships/hyperlink" Id="rId64" Target="http://epaper.stcn.com/paper/zqsb/html/2014-05/05/content_572631.htm" TargetMode="External" /><Relationship Type="http://schemas.openxmlformats.org/officeDocument/2006/relationships/hyperlink" Id="rId58" Target="http://epaper.stcn.com/paper/zqsb/html/2014-05/06/content_573020.htm" TargetMode="External" /><Relationship Type="http://schemas.openxmlformats.org/officeDocument/2006/relationships/hyperlink" Id="rId61" Target="http://epaper.stcn.com/paper/zqsb/html/2014-05/06/content_573029.htm" TargetMode="External" /><Relationship Type="http://schemas.openxmlformats.org/officeDocument/2006/relationships/hyperlink" Id="rId25" Target="http://epaper.stcn.com/paper/zqsb/html/2014-05/07/content_573268.htm" TargetMode="External" /><Relationship Type="http://schemas.openxmlformats.org/officeDocument/2006/relationships/hyperlink" Id="rId28" Target="http://epaper.stcn.com/paper/zqsb/html/2014-05/07/content_573272.htm" TargetMode="External" /><Relationship Type="http://schemas.openxmlformats.org/officeDocument/2006/relationships/hyperlink" Id="rId55" Target="http://epaper.stcn.com/paper/zqsb/html/2014-05/07/content_573492.htm" TargetMode="External" /><Relationship Type="http://schemas.openxmlformats.org/officeDocument/2006/relationships/hyperlink" Id="rId52" Target="http://epaper.stcn.com/paper/zqsb/html/epaper/index/content_573638.htm" TargetMode="External" /><Relationship Type="http://schemas.openxmlformats.org/officeDocument/2006/relationships/hyperlink" Id="rId75" Target="http://money.21cbh.com/2014/5-8/zMMDA2NzZfMTE1ODgzMA.html" TargetMode="External" /><Relationship Type="http://schemas.openxmlformats.org/officeDocument/2006/relationships/hyperlink" Id="rId32" Target="http://qys.mof.gov.cn/zhengwuxinxi/zhengcefabu/201405/t20140506_1075478.html" TargetMode="External" /><Relationship Type="http://schemas.openxmlformats.org/officeDocument/2006/relationships/hyperlink" Id="rId71" Target="http://sbj.saic.gov.cn/sbyw/201405/t20140507_144901.html" TargetMode="External" /><Relationship Type="http://schemas.openxmlformats.org/officeDocument/2006/relationships/hyperlink" Id="rId21" Target="http://www.charltonslaw.com.cn/china-news-alerts-cn-issue-405/" TargetMode="External" /><Relationship Type="http://schemas.openxmlformats.org/officeDocument/2006/relationships/hyperlink" Id="rId48" Target="http://www.circ.gov.cn/web/site0/tab5168/info3914862.htm" TargetMode="External" /><Relationship Type="http://schemas.openxmlformats.org/officeDocument/2006/relationships/hyperlink" Id="rId35" Target="http://www.gov.cn/zhengce/content/2014-05/07/content_8796.htm" TargetMode="External" /><Relationship Type="http://schemas.openxmlformats.org/officeDocument/2006/relationships/hyperlink" Id="rId38" Target="http://www.miit.gov.cn/n11293472/n11293832/n12843926/n13917072/15988221.html" TargetMode="External" /><Relationship Type="http://schemas.openxmlformats.org/officeDocument/2006/relationships/hyperlink" Id="rId41" Target="http://www.nipso.cn/onews.asp?id=21146" TargetMode="External" /><Relationship Type="http://schemas.openxmlformats.org/officeDocument/2006/relationships/hyperlink" Id="rId44" Target="http://www.sdpc.gov.cn/gzdt/201405/t20140508_610862.html" TargetMode="External" /><Relationship Type="http://schemas.openxmlformats.org/officeDocument/2006/relationships/hyperlink" Id="rId7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6" Target="16.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68" Target="http://epaper.stcn.com/paper/zqsb/html/2014-05/05/content_572425.htm" TargetMode="External" /><Relationship Type="http://schemas.openxmlformats.org/officeDocument/2006/relationships/hyperlink" Id="rId64" Target="http://epaper.stcn.com/paper/zqsb/html/2014-05/05/content_572631.htm" TargetMode="External" /><Relationship Type="http://schemas.openxmlformats.org/officeDocument/2006/relationships/hyperlink" Id="rId58" Target="http://epaper.stcn.com/paper/zqsb/html/2014-05/06/content_573020.htm" TargetMode="External" /><Relationship Type="http://schemas.openxmlformats.org/officeDocument/2006/relationships/hyperlink" Id="rId61" Target="http://epaper.stcn.com/paper/zqsb/html/2014-05/06/content_573029.htm" TargetMode="External" /><Relationship Type="http://schemas.openxmlformats.org/officeDocument/2006/relationships/hyperlink" Id="rId25" Target="http://epaper.stcn.com/paper/zqsb/html/2014-05/07/content_573268.htm" TargetMode="External" /><Relationship Type="http://schemas.openxmlformats.org/officeDocument/2006/relationships/hyperlink" Id="rId28" Target="http://epaper.stcn.com/paper/zqsb/html/2014-05/07/content_573272.htm" TargetMode="External" /><Relationship Type="http://schemas.openxmlformats.org/officeDocument/2006/relationships/hyperlink" Id="rId55" Target="http://epaper.stcn.com/paper/zqsb/html/2014-05/07/content_573492.htm" TargetMode="External" /><Relationship Type="http://schemas.openxmlformats.org/officeDocument/2006/relationships/hyperlink" Id="rId52" Target="http://epaper.stcn.com/paper/zqsb/html/epaper/index/content_573638.htm" TargetMode="External" /><Relationship Type="http://schemas.openxmlformats.org/officeDocument/2006/relationships/hyperlink" Id="rId75" Target="http://money.21cbh.com/2014/5-8/zMMDA2NzZfMTE1ODgzMA.html" TargetMode="External" /><Relationship Type="http://schemas.openxmlformats.org/officeDocument/2006/relationships/hyperlink" Id="rId32" Target="http://qys.mof.gov.cn/zhengwuxinxi/zhengcefabu/201405/t20140506_1075478.html" TargetMode="External" /><Relationship Type="http://schemas.openxmlformats.org/officeDocument/2006/relationships/hyperlink" Id="rId71" Target="http://sbj.saic.gov.cn/sbyw/201405/t20140507_144901.html" TargetMode="External" /><Relationship Type="http://schemas.openxmlformats.org/officeDocument/2006/relationships/hyperlink" Id="rId21" Target="http://www.charltonslaw.com.cn/china-news-alerts-cn-issue-405/" TargetMode="External" /><Relationship Type="http://schemas.openxmlformats.org/officeDocument/2006/relationships/hyperlink" Id="rId48" Target="http://www.circ.gov.cn/web/site0/tab5168/info3914862.htm" TargetMode="External" /><Relationship Type="http://schemas.openxmlformats.org/officeDocument/2006/relationships/hyperlink" Id="rId35" Target="http://www.gov.cn/zhengce/content/2014-05/07/content_8796.htm" TargetMode="External" /><Relationship Type="http://schemas.openxmlformats.org/officeDocument/2006/relationships/hyperlink" Id="rId38" Target="http://www.miit.gov.cn/n11293472/n11293832/n12843926/n13917072/15988221.html" TargetMode="External" /><Relationship Type="http://schemas.openxmlformats.org/officeDocument/2006/relationships/hyperlink" Id="rId41" Target="http://www.nipso.cn/onews.asp?id=21146" TargetMode="External" /><Relationship Type="http://schemas.openxmlformats.org/officeDocument/2006/relationships/hyperlink" Id="rId44" Target="http://www.sdpc.gov.cn/gzdt/201405/t20140508_610862.html" TargetMode="External" /><Relationship Type="http://schemas.openxmlformats.org/officeDocument/2006/relationships/hyperlink" Id="rId7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第405期 - 2014年05月09日</dc:title>
  <dc:creator/>
</cp:coreProperties>
</file>