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第408期</w:t>
      </w:r>
      <w:r>
        <w:t xml:space="preserve"> </w:t>
      </w:r>
      <w:r>
        <w:t xml:space="preserve">-</w:t>
      </w:r>
      <w:r>
        <w:t xml:space="preserve"> </w:t>
      </w:r>
      <w:r>
        <w:t xml:space="preserve">2014年05月30日</w:t>
      </w:r>
    </w:p>
    <w:p>
      <w:hyperlink r:id="rId21">
        <w:r>
          <w:rPr>
            <w:rStyle w:val="Link"/>
          </w:rPr>
          <w:t xml:space="preserve">网络版</w:t>
        </w:r>
      </w:hyperlink>
    </w:p>
    <w:p>
      <w:pPr>
        <w:pStyle w:val="Heading1"/>
      </w:pPr>
      <w:bookmarkStart w:id="22" w:name="法讯中国第408期"/>
      <w:bookmarkEnd w:id="22"/>
      <w:r>
        <w:t xml:space="preserve">法讯中国第408期</w:t>
      </w:r>
    </w:p>
    <w:p>
      <w:pPr>
        <w:pStyle w:val="Heading2"/>
      </w:pPr>
      <w:bookmarkStart w:id="23" w:name="资本市场"/>
      <w:bookmarkEnd w:id="23"/>
      <w:r>
        <w:t xml:space="preserve">资本市场</w:t>
      </w:r>
    </w:p>
    <w:p>
      <w:pPr>
        <w:pStyle w:val="Heading3"/>
      </w:pPr>
      <w:bookmarkStart w:id="24" w:name="六家企业新股发行承销违规"/>
      <w:bookmarkEnd w:id="24"/>
      <w:r>
        <w:t xml:space="preserve">六家企业新股发行承销违规</w:t>
      </w:r>
    </w:p>
    <w:p>
      <w:r>
        <w:t xml:space="preserve">5月23日，证监会新闻发言人邓舸通报了新股发行承销检查结果处理情况，我武生物、良信电器、炬华科技、天保重装、慈铭体检、天赐材料等6家新股项目存在违规情况。</w:t>
      </w:r>
    </w:p>
    <w:p>
      <w:r>
        <w:t xml:space="preserve">邓舸指出，证监会将持续强化新股发行的过程监管、行为监管，发现违法违规行为或存在异常情形的，将责令暂停或中止发行，同时强化责任追究，坚决打击违法违规行为，促进市场参与各方守法合规，切实维护市场稳定健康发展。</w:t>
      </w:r>
    </w:p>
    <w:p>
      <w:r>
        <w:t xml:space="preserve">今年年初，证监会曾组织对新股发行承销过程的检查。检查发现，上述6家新股项目发行承销过程中，存在未按事先披露的原则配售股票、向禁止配售的关联方配售、干扰投资者报价、向投资者提供超出招股书范围的发行人信息等违反公平、公正原则的行为，涉及4家证券公司、2家发行人和6名个人。</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批准郑商所开展铁合金期货交易"/>
      <w:bookmarkEnd w:id="27"/>
      <w:r>
        <w:t xml:space="preserve">证监会批准郑商所开展铁合金期货交易</w:t>
      </w:r>
    </w:p>
    <w:p>
      <w:r>
        <w:t xml:space="preserve">近日，铁合金期货已获证监会批准在郑州商品交易所交易。证监会指出，合约具体上市时间由郑商所根据准备情况确定。</w:t>
      </w:r>
    </w:p>
    <w:p>
      <w:r>
        <w:t xml:space="preserve">证监会要求郑商所统筹安排，精心组织，加强沟通协调，完善监管制度和风险防范措施，制定应对预案，做好舆论引导工作，确保铁合金期货的顺利推出和平稳运行。</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公司未按期披露年报证监会已依法立案"/>
      <w:bookmarkEnd w:id="30"/>
      <w:r>
        <w:t xml:space="preserve">3公司未按期披露年报证监会已依法立案</w:t>
      </w:r>
    </w:p>
    <w:p>
      <w:r>
        <w:t xml:space="preserve">证监会5月23日对上市公司2013年年报披露相关情况进行了通报。截至2014年4月30日，沪深两市共2537家上市公司，除博汇纸业、ST成城、*ST国恒3家公司未按期披露年报外，其余2534家均披露了2013年年报。目前，证监会已依法对3家未按期披露年报的公司立案。</w:t>
      </w:r>
    </w:p>
    <w:p>
      <w:r>
        <w:t xml:space="preserve">证监会新闻发言人邓舸表示，上述2534家公司年报披露后，按照证券交易所《股票上市规则》的有关规定，39家公司被实施退市风险警示（*ST），其中包括触及净利润指标34家，触及净资产指标1家，触及审计意见指标3家，触及规范类指标1家；4家公司因触及净利润或净资产指标被暂停上市；5家公司被实施其他风险警示（ST）。</w:t>
      </w:r>
    </w:p>
    <w:p>
      <w:r>
        <w:t xml:space="preserve">证监会还通报对金谷源、新都酒店、博汇纸业、国恒铁路、ST成城等5家上市公司信息披露违法违规行为进行立案调查的情况。目前，证监会已对上述案件正式立案，案件正在调查过程中。</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行业"/>
      <w:bookmarkEnd w:id="33"/>
      <w:r>
        <w:t xml:space="preserve">行业</w:t>
      </w:r>
    </w:p>
    <w:p>
      <w:pPr>
        <w:pStyle w:val="Heading3"/>
      </w:pPr>
      <w:bookmarkStart w:id="34" w:name="国办印发深化医药卫生体制改革2014年重点工作任务"/>
      <w:bookmarkEnd w:id="34"/>
      <w:r>
        <w:t xml:space="preserve">国办印发《深化医药卫生体制改革2014年重点工作任务》</w:t>
      </w:r>
    </w:p>
    <w:p>
      <w:r>
        <w:t xml:space="preserve">日前，国务院办公厅印发了《深化医药卫生体制改革2014年重点工作任务》（以下简称《工作任务》）。</w:t>
      </w:r>
    </w:p>
    <w:p>
      <w:r>
        <w:t xml:space="preserve">《工作任务》共提出六方面共31项医改工作任务。其中，《工作任务》明确，各地要积极推动社会办医，放宽准入条件、优化社会办医政策环境、加快推进医师多点执业、推动社会办医联系点和公立医院改制试点工作。同时，各地还应进一步规范药品流通经营行为、提升药品流通服务水平和效率、改革完善药品价格形成机制。</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安监总局印发冶金等工贸行业企业安全生产预警系统技术标准试行"/>
      <w:bookmarkEnd w:id="37"/>
      <w:r>
        <w:t xml:space="preserve">安监总局印发《冶金等工贸行业企业安全生产预警系统技术标准（试行）》</w:t>
      </w:r>
    </w:p>
    <w:p>
      <w:r>
        <w:t xml:space="preserve">国家安全监管总局网站5月27日消息，5月23日，国家安全监管总局印发了《冶金等工贸行业企业安全生产预警系统技术标准（试行）》。</w:t>
      </w:r>
    </w:p>
    <w:p>
      <w:r>
        <w:t xml:space="preserve">该标准适用于企业安全生产预警系统的建设，其他行业也可参照执行。此外，该标准主要对冶金等工贸行业企业安全生产预警系统的建设原则、核心内容及建设过程作出了具体规定。</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国务院印发2014年食品安全重点工作安排"/>
      <w:bookmarkEnd w:id="40"/>
      <w:r>
        <w:t xml:space="preserve">国务院印发2014年食品安全重点工作安排</w:t>
      </w:r>
    </w:p>
    <w:p>
      <w:r>
        <w:t xml:space="preserve">近日，国务院办公厅印发了2014年食品安全重点工作安排（以下简称“工作安排”）。</w:t>
      </w:r>
    </w:p>
    <w:p>
      <w:r>
        <w:t xml:space="preserve">根据工作安排，政府部门今年将围绕重点产品、重点行业，着力开展九个方面的治理整顿。其中，政府部门将深入开展婴幼儿配方乳粉专项整治，严厉打击非法添加非食用物质、超范围超限量使用食品添加剂等行为。</w:t>
      </w:r>
    </w:p>
    <w:p>
      <w:r>
        <w:t xml:space="preserve">在制度机制建设方面，政府部门将在婴幼儿配方乳粉、白酒生产企业试点开展“食品质量安全授权”制度，通过企业授权质量安全负责人，对原料入厂把关、生产过程控制和出厂产品检验质量安全负责。</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新版商品房买卖合同示范文本发布"/>
      <w:bookmarkEnd w:id="43"/>
      <w:r>
        <w:t xml:space="preserve">新版商品房买卖合同示范文本发布</w:t>
      </w:r>
    </w:p>
    <w:p>
      <w:r>
        <w:t xml:space="preserve">近日，住房城乡建设部和国家工商总局联合发布了新版《商品房买卖合同（预售）示范文本》（GF-2014-0171）、《商品房买卖合同（现售）示范文本》（GF-2014-0172）。</w:t>
      </w:r>
    </w:p>
    <w:p>
      <w:r>
        <w:t xml:space="preserve">新修订的合同示范文本分为了预售合同和现售合同两个文本，主要具有以下特点：一是在平等维护买卖双方合法权利、明确双方义务的基础上，更加注重买受人权益的保障；二是对签订合同过程中容易忽视的问题进行提示，引导买卖双方对合同重要事项作出承诺和告知；三是对法律法规没有明确规定的事项，引导买卖双方自行约定；四是细化了买卖双方的违约责任，合同的适用性和可操作性增强。</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两部门组织开展移动电子商务金融科技服务创新试点工作"/>
      <w:bookmarkEnd w:id="46"/>
      <w:r>
        <w:t xml:space="preserve">两部门组织开展移动电子商务金融科技服务创新试点工作</w:t>
      </w:r>
    </w:p>
    <w:p>
      <w:r>
        <w:t xml:space="preserve">日前，国家发展改革委办公厅、中国人民银行办公厅联合发布《关于组织开展移动电子商务金融科技服务创新试点工作的通知》（以下简称《通知》）。</w:t>
      </w:r>
    </w:p>
    <w:p>
      <w:r>
        <w:t xml:space="preserve">《通知》指出，试点工作的任务是推动移动金融安全可信公共服务平台建设，同时开展国家电子商务示范城市移动电子商务金融科技服务创新试点。根据《通知》，央行将组织相关单位建设完善移动金融安全可信公共服务平台（MTPS），为商业银行、电信运营商、银行卡清算组织、支付机构、电子商务企业等各方搭建互信互通的桥梁，提供跨行业、跨区域、跨机构的系统互联、资源共享、数据交换、交易实名等公共基础服务。</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务"/>
      <w:bookmarkEnd w:id="49"/>
      <w:r>
        <w:t xml:space="preserve">税务</w:t>
      </w:r>
    </w:p>
    <w:p>
      <w:pPr>
        <w:pStyle w:val="Heading3"/>
      </w:pPr>
      <w:bookmarkStart w:id="50" w:name="税务总局明确企业所得税应纳税所得额若干问题"/>
      <w:bookmarkEnd w:id="50"/>
      <w:r>
        <w:t xml:space="preserve">税务总局明确企业所得税应纳税所得额若干问题</w:t>
      </w:r>
    </w:p>
    <w:p>
      <w:r>
        <w:t xml:space="preserve">5月23日，税务总局发布《关于企业所得税应纳税所得额若干问题的公告》（以下简称《公告》）。</w:t>
      </w:r>
    </w:p>
    <w:p>
      <w:r>
        <w:t xml:space="preserve">《公告》明确了企业接收政府划入资产、企业接收股东划入资产、保险企业准备金支出、核电厂操纵员培养费、固定资产折旧的企业所得税处理等问题。《公告》明确，企业接收股东划入资产若作为资本金处理的，属于正常接受股东股权投资行为，不作为收入进行所得税处理，若作为收入处理的，则视作接受捐赠行为，应计入收入总额计算缴纳企业所得税。</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海默科技计划4.2亿收购清河机械"/>
      <w:bookmarkEnd w:id="54"/>
      <w:r>
        <w:t xml:space="preserve">海默科技计划4.2亿收购清河机械</w:t>
      </w:r>
    </w:p>
    <w:p>
      <w:r>
        <w:t xml:space="preserve">海默科技5月26日披露重组预案，计划以发行股份及支付现金的方式购买李建国、李铁合计持有的海清河机械有限公司100%股权，并募集配套资金。</w:t>
      </w:r>
    </w:p>
    <w:p>
      <w:r>
        <w:t xml:space="preserve">根据方案，清河机械100%股权交易价格为4.2亿元，其中海默科技以19.95元/股的价格向李建国、李铁发行合计1353.38万股，并支付现金1.5亿元。此外，海默科技拟向不超过5名特定投资者发行股份募集不超过1.4亿元配套资金，用于上述现金支付。</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华润万家收购乐购获批"/>
      <w:bookmarkEnd w:id="57"/>
      <w:r>
        <w:t xml:space="preserve">华润万家收购乐购获批</w:t>
      </w:r>
    </w:p>
    <w:p>
      <w:r>
        <w:t xml:space="preserve">中国最大的零售企业华润万家有限公司5月29日宣布，其母公司华润创业与英国零售巨头TESCO（乐购）签署的合资协议已获得中国相关政府机构的批准，交易已经在5月28日完成，至此，历时半年多的收购终于尘埃落定。</w:t>
      </w:r>
    </w:p>
    <w:p>
      <w:r>
        <w:t xml:space="preserve">公开资料显示，这桩交易最初公布于2013年8月，双方宣布已签署了谅解备忘录并进行排他性的合作商讨。收购成功以后，合资双方将组成多元化零售合资公司，于大中华地区（中国大陆、香港及澳门）经营大卖场、超级市场、便利店、现购自运业务及酒类专卖门店等零售业务。TESCO将其中国业务及现金注入合资公司，基于此，华润创业持有合资公司80%的股份，TESCO持有20%。</w:t>
      </w:r>
    </w:p>
    <w:p>
      <w:r>
        <w:t xml:space="preserve">按照规划，双方成立的合资公司将成为内地、香港及澳门经营大卖场、超级市场、便利店、现购自运及酒类专卖店的独一平台，新成立的合资企业销售额预计将达到100亿英镑左右，约合950亿元人民币。</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华闻传媒计划28亿收购资产充实全媒体平台"/>
      <w:bookmarkEnd w:id="60"/>
      <w:r>
        <w:t xml:space="preserve">华闻传媒计划28亿收购资产充实全媒体平台</w:t>
      </w:r>
    </w:p>
    <w:p>
      <w:r>
        <w:t xml:space="preserve">华闻传媒5月30日公布重组方案，拟以28亿元购买4家公司股份，从而扩充华闻传媒的业务版图、促进结构升级。</w:t>
      </w:r>
    </w:p>
    <w:p>
      <w:r>
        <w:t xml:space="preserve">标的4家公司资产合计作价约28亿元，分别为掌视亿通100%股权、精视文化60%股权、邦富软件100%股权、漫友文化85.61%股权。华闻传媒计划以13.68元/股向交易对方发行1.35亿股，其余9.56亿元将以现金支付，现金部分包括募集配套资金9.2亿元和公司自筹资金。</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其他"/>
      <w:bookmarkEnd w:id="63"/>
      <w:r>
        <w:t xml:space="preserve">其他</w:t>
      </w:r>
    </w:p>
    <w:p>
      <w:pPr>
        <w:pStyle w:val="Heading3"/>
      </w:pPr>
      <w:bookmarkStart w:id="64" w:name="国办印发大气污染防治行动计划实施情况考核办法试行"/>
      <w:bookmarkEnd w:id="64"/>
      <w:r>
        <w:t xml:space="preserve">国办印发《大气污染防治行动计划实施情况考核办法（试行）》</w:t>
      </w:r>
    </w:p>
    <w:p>
      <w:r>
        <w:t xml:space="preserve">国务院办公厅日前印发了《大气污染防治行动计划实施情况考核办法（试行）》（以下简称《办法》），《办法》将适用于对各省（区、市）人民政府《大气污染防治行动计划》实施情况的年度考核和终期考核。</w:t>
      </w:r>
    </w:p>
    <w:p>
      <w:r>
        <w:t xml:space="preserve">根据《办法》，考核指标包括空气质量改善目标完成情况和大气污染防治重点任务完成情况两个方面。其中，京津冀及周边地区、长三角区域、珠三角区域、重庆市以PM2.5年均浓度下降比例作为考核指标。其他地区以PM10年均浓度下降比例作为考核指标。</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发改委公布政府核准投资项目管理办法"/>
      <w:bookmarkEnd w:id="67"/>
      <w:r>
        <w:t xml:space="preserve">发改委公布《政府核准投资项目管理办法》</w:t>
      </w:r>
    </w:p>
    <w:p>
      <w:r>
        <w:t xml:space="preserve">近日，国家发展和改革委员会公布《政府核准投资项目管理办法》（以下简称《办法》），《办法》自2014年6月14日起施行。</w:t>
      </w:r>
    </w:p>
    <w:p>
      <w:r>
        <w:t xml:space="preserve">《办法》要求，对于可能会对公众利益构成重大影响的项目，项目核准机关应当采取适当方式征求公众意见。对于特别重大的项目，可以实行专家评议制度。根据《办法》，政府依据相关法规对企业提交的投资项目申请报告，应当主要从维护经济安全、合理开发利用资源、保护生态环境、优化重大布局、保障公共利益、防止出现垄断等方面依法进行审查，作出是否予以核准的决定，并加强监督管理。</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办印发2014-2015年节能减排低碳发展行动方案"/>
      <w:bookmarkEnd w:id="70"/>
      <w:r>
        <w:t xml:space="preserve">国办印发《2014-2015年节能减排低碳发展行动方案》</w:t>
      </w:r>
    </w:p>
    <w:p>
      <w:r>
        <w:t xml:space="preserve">近日，国务院办公厅印发《2014-2015年节能减排低碳发展行动方案》（以下简称《行动方案》）。</w:t>
      </w:r>
    </w:p>
    <w:p>
      <w:r>
        <w:t xml:space="preserve">《行动方案》提出了节能减排降碳的具体目标，并从“推进产业结构调整、建设节能减排降碳工程”等八个方面明确了推进节能减排降碳的三十项具体措施。《行动方案》要求，严控煤炭消费总量，降低煤炭消费比重，大力发展非化石能源；加快更新改造燃煤锅炉，实施燃煤锅炉节能环保综合提升工程；加强工业、建筑、交通和公共机构节能降碳工作，确保完成各领域节能目标任务。</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中国政府呼吁国内银行弃用ibm服务器"/>
      <w:bookmarkEnd w:id="73"/>
      <w:r>
        <w:t xml:space="preserve">中国政府呼吁国内银行弃用IBM服务器</w:t>
      </w:r>
    </w:p>
    <w:p>
      <w:r>
        <w:t xml:space="preserve">5月27日消息，为了进一步应对中国与美国之间日益升级的间谍冲突以及网络安全问题，中国政府正在呼吁国内银行放弃由IBM公司开发的高端服务器产品，并鼓励这些银行更多的采用本土品牌服务器。</w:t>
      </w:r>
    </w:p>
    <w:p>
      <w:r>
        <w:t xml:space="preserve">包括中国人民银行和财政部在内的政府机构正在评估中国商业银行对IBM服务器的严重依赖是否会对国家金融安全构成威胁。</w:t>
      </w:r>
    </w:p>
    <w:p>
      <w:r>
        <w:t xml:space="preserve">这是由于美国检察官此前无端指控五名中国军官入侵美国公司电脑，并窃取机密信息后中国政府所作出的连锁反应。中国政府曾在上周表示，将会开始审查在国内运营的科技企业。</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罗氏等四跨国药企杭州被查或点名-或涉医药回扣"/>
      <w:bookmarkEnd w:id="76"/>
      <w:r>
        <w:t xml:space="preserve">罗氏等四跨国药企杭州被查或点名 或涉医药回扣</w:t>
      </w:r>
    </w:p>
    <w:p>
      <w:r>
        <w:t xml:space="preserve">一年前的葛兰素史克商业贿赂案卷起的中国医药圈整顿风暴仍未停歇，近日罗氏制药承认其杭州办事处被调查，而礼来、阿斯利康以及诺和诺德三家药企也遭有关部门关于其或涉医药回扣的“点名”。</w:t>
      </w:r>
    </w:p>
    <w:p>
      <w:r>
        <w:t xml:space="preserve">与此同时，浙江省卫生厅内部下发了一份《杭州市卫生局关于深化廉洁风险防控建设开展医药回扣专项治理工作的意见》。礼来、阿斯利康以及诺和诺德三家药企在上述文件中被直接点名，被指疑似发放商业回扣。该文件还显示，此次专项整治要求所属辖区内“各医疗单位6月30日前组织所属人员，对照廉洁自律规定、财经纪律、法律法规和相关侦测规定”。</w:t>
      </w:r>
    </w:p>
    <w:p>
      <w:r>
        <w:t xml:space="preserve">随着越来越多药企行贿事件的曝光，以及有关部门对药企越来越频繁的突击“造访”，中国医疗反腐目前已渐趋常态化。国家卫生计生委规定，自今年3月1日起，5年内两次及以上进入“黑名单”的药企，两年内将禁入全国所有公立医院和接受财政资金的医疗卫生机构。</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9">
        <w:r>
          <w:rPr>
            <w:rStyle w:val="Link"/>
          </w:rPr>
          <w:t xml:space="preserve">unsubscribe@charltonslaw.com</w:t>
        </w:r>
      </w:hyperlink>
    </w:p>
    <w:p>
      <w:r>
        <w:rPr>
          <w:b/>
        </w:rPr>
        <w:t xml:space="preserve">易周律师行 - 法讯 - 中国 - 第408期 - 2014年05月30日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440445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5" Target="http://epaper.stcn.com/paper/zqsb/html/2014-05/24/content_578492.htm" TargetMode="External" /><Relationship Type="http://schemas.openxmlformats.org/officeDocument/2006/relationships/hyperlink" Id="rId31" Target="http://epaper.stcn.com/paper/zqsb/html/2014-05/24/content_578582.htm" TargetMode="External" /><Relationship Type="http://schemas.openxmlformats.org/officeDocument/2006/relationships/hyperlink" Id="rId28" Target="http://epaper.stcn.com/paper/zqsb/html/2014-05/24/content_578584.htm" TargetMode="External" /><Relationship Type="http://schemas.openxmlformats.org/officeDocument/2006/relationships/hyperlink" Id="rId55" Target="http://epaper.stcn.com/paper/zqsb/html/2014-05/26/content_578709.htm" TargetMode="External" /><Relationship Type="http://schemas.openxmlformats.org/officeDocument/2006/relationships/hyperlink" Id="rId58" Target="http://epaper.stcn.com/paper/zqsb/html/epaper/index/content_579859.htm" TargetMode="External" /><Relationship Type="http://schemas.openxmlformats.org/officeDocument/2006/relationships/hyperlink" Id="rId61" Target="http://epaper.stcn.com/paper/zqsb/html/epaper/index/content_579869.htm" TargetMode="External" /><Relationship Type="http://schemas.openxmlformats.org/officeDocument/2006/relationships/hyperlink" Id="rId77" Target="http://gb.cri.cn/44571/2014/05/28/3005s4557322.htm" TargetMode="External" /><Relationship Type="http://schemas.openxmlformats.org/officeDocument/2006/relationships/hyperlink" Id="rId74" Target="http://tech.qq.com/a/20140527/031920.htm" TargetMode="External" /><Relationship Type="http://schemas.openxmlformats.org/officeDocument/2006/relationships/hyperlink" Id="rId21" Target="http://www.charltonslaw.com.cn/china-news-alerts-cn-issue-408/" TargetMode="External" /><Relationship Type="http://schemas.openxmlformats.org/officeDocument/2006/relationships/hyperlink" Id="rId38" Target="http://www.chinasafety.gov.cn/newpage/Contents/Channel_6288/2014/0527/235359/content_235359.htm" TargetMode="External" /><Relationship Type="http://schemas.openxmlformats.org/officeDocument/2006/relationships/hyperlink" Id="rId51" Target="http://www.chinatax.gov.cn/n2226/n2271/n2272/c729150/content.html" TargetMode="External" /><Relationship Type="http://schemas.openxmlformats.org/officeDocument/2006/relationships/hyperlink" Id="rId71" Target="http://www.gov.cn/zhengce/content/2014-05/26/content_8824.htm" TargetMode="External" /><Relationship Type="http://schemas.openxmlformats.org/officeDocument/2006/relationships/hyperlink" Id="rId41" Target="http://www.gov.cn/zhengce/content/2014-05/27/content_8827.htm" TargetMode="External" /><Relationship Type="http://schemas.openxmlformats.org/officeDocument/2006/relationships/hyperlink" Id="rId65" Target="http://www.gov.cn/zhengce/content/2014-05/27/content_8830.htm" TargetMode="External" /><Relationship Type="http://schemas.openxmlformats.org/officeDocument/2006/relationships/hyperlink" Id="rId35" Target="http://www.gov.cn/zhengce/content/2014-05/28/content_8832.htm" TargetMode="External" /><Relationship Type="http://schemas.openxmlformats.org/officeDocument/2006/relationships/hyperlink" Id="rId44" Target="http://www.mohurd.gov.cn/zcfg/jsbwj_0/jsbwjfdcy/201405/t20140526_217995.html" TargetMode="External" /><Relationship Type="http://schemas.openxmlformats.org/officeDocument/2006/relationships/hyperlink" Id="rId68" Target="http://www.sdpc.gov.cn/zcfb/zcfbl/201405/t20140526_612895.html" TargetMode="External" /><Relationship Type="http://schemas.openxmlformats.org/officeDocument/2006/relationships/hyperlink" Id="rId47" Target="http://www.sdpc.gov.cn/zcfb/zcfbtz/201405/t20140528_613258.html" TargetMode="External" /><Relationship Type="http://schemas.openxmlformats.org/officeDocument/2006/relationships/hyperlink" Id="rId7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5" Target="http://epaper.stcn.com/paper/zqsb/html/2014-05/24/content_578492.htm" TargetMode="External" /><Relationship Type="http://schemas.openxmlformats.org/officeDocument/2006/relationships/hyperlink" Id="rId31" Target="http://epaper.stcn.com/paper/zqsb/html/2014-05/24/content_578582.htm" TargetMode="External" /><Relationship Type="http://schemas.openxmlformats.org/officeDocument/2006/relationships/hyperlink" Id="rId28" Target="http://epaper.stcn.com/paper/zqsb/html/2014-05/24/content_578584.htm" TargetMode="External" /><Relationship Type="http://schemas.openxmlformats.org/officeDocument/2006/relationships/hyperlink" Id="rId55" Target="http://epaper.stcn.com/paper/zqsb/html/2014-05/26/content_578709.htm" TargetMode="External" /><Relationship Type="http://schemas.openxmlformats.org/officeDocument/2006/relationships/hyperlink" Id="rId58" Target="http://epaper.stcn.com/paper/zqsb/html/epaper/index/content_579859.htm" TargetMode="External" /><Relationship Type="http://schemas.openxmlformats.org/officeDocument/2006/relationships/hyperlink" Id="rId61" Target="http://epaper.stcn.com/paper/zqsb/html/epaper/index/content_579869.htm" TargetMode="External" /><Relationship Type="http://schemas.openxmlformats.org/officeDocument/2006/relationships/hyperlink" Id="rId77" Target="http://gb.cri.cn/44571/2014/05/28/3005s4557322.htm" TargetMode="External" /><Relationship Type="http://schemas.openxmlformats.org/officeDocument/2006/relationships/hyperlink" Id="rId74" Target="http://tech.qq.com/a/20140527/031920.htm" TargetMode="External" /><Relationship Type="http://schemas.openxmlformats.org/officeDocument/2006/relationships/hyperlink" Id="rId21" Target="http://www.charltonslaw.com.cn/china-news-alerts-cn-issue-408/" TargetMode="External" /><Relationship Type="http://schemas.openxmlformats.org/officeDocument/2006/relationships/hyperlink" Id="rId38" Target="http://www.chinasafety.gov.cn/newpage/Contents/Channel_6288/2014/0527/235359/content_235359.htm" TargetMode="External" /><Relationship Type="http://schemas.openxmlformats.org/officeDocument/2006/relationships/hyperlink" Id="rId51" Target="http://www.chinatax.gov.cn/n2226/n2271/n2272/c729150/content.html" TargetMode="External" /><Relationship Type="http://schemas.openxmlformats.org/officeDocument/2006/relationships/hyperlink" Id="rId71" Target="http://www.gov.cn/zhengce/content/2014-05/26/content_8824.htm" TargetMode="External" /><Relationship Type="http://schemas.openxmlformats.org/officeDocument/2006/relationships/hyperlink" Id="rId41" Target="http://www.gov.cn/zhengce/content/2014-05/27/content_8827.htm" TargetMode="External" /><Relationship Type="http://schemas.openxmlformats.org/officeDocument/2006/relationships/hyperlink" Id="rId65" Target="http://www.gov.cn/zhengce/content/2014-05/27/content_8830.htm" TargetMode="External" /><Relationship Type="http://schemas.openxmlformats.org/officeDocument/2006/relationships/hyperlink" Id="rId35" Target="http://www.gov.cn/zhengce/content/2014-05/28/content_8832.htm" TargetMode="External" /><Relationship Type="http://schemas.openxmlformats.org/officeDocument/2006/relationships/hyperlink" Id="rId44" Target="http://www.mohurd.gov.cn/zcfg/jsbwj_0/jsbwjfdcy/201405/t20140526_217995.html" TargetMode="External" /><Relationship Type="http://schemas.openxmlformats.org/officeDocument/2006/relationships/hyperlink" Id="rId68" Target="http://www.sdpc.gov.cn/zcfb/zcfbl/201405/t20140526_612895.html" TargetMode="External" /><Relationship Type="http://schemas.openxmlformats.org/officeDocument/2006/relationships/hyperlink" Id="rId47" Target="http://www.sdpc.gov.cn/zcfb/zcfbtz/201405/t20140528_613258.html" TargetMode="External" /><Relationship Type="http://schemas.openxmlformats.org/officeDocument/2006/relationships/hyperlink" Id="rId7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第408期 - 2014年05月30日</dc:title>
  <dc:creator/>
</cp:coreProperties>
</file>