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第409期</w:t>
      </w:r>
      <w:r>
        <w:t xml:space="preserve"> </w:t>
      </w:r>
      <w:r>
        <w:t xml:space="preserve">-</w:t>
      </w:r>
      <w:r>
        <w:t xml:space="preserve"> </w:t>
      </w:r>
      <w:r>
        <w:t xml:space="preserve">2014年06月06日</w:t>
      </w:r>
    </w:p>
    <w:p>
      <w:hyperlink r:id="rId21">
        <w:r>
          <w:rPr>
            <w:rStyle w:val="Link"/>
          </w:rPr>
          <w:t xml:space="preserve">网络版</w:t>
        </w:r>
      </w:hyperlink>
    </w:p>
    <w:p>
      <w:pPr>
        <w:pStyle w:val="Heading1"/>
      </w:pPr>
      <w:bookmarkStart w:id="22" w:name="法讯中国第409期"/>
      <w:bookmarkEnd w:id="22"/>
      <w:r>
        <w:t xml:space="preserve">法讯中国第409期</w:t>
      </w:r>
    </w:p>
    <w:p>
      <w:pPr>
        <w:pStyle w:val="Heading2"/>
      </w:pPr>
      <w:bookmarkStart w:id="23" w:name="资本市场"/>
      <w:bookmarkEnd w:id="23"/>
      <w:r>
        <w:t xml:space="preserve">资本市场</w:t>
      </w:r>
    </w:p>
    <w:p>
      <w:pPr>
        <w:pStyle w:val="Heading3"/>
      </w:pPr>
      <w:bookmarkStart w:id="24" w:name="股转系统启动做市业务资格备案"/>
      <w:bookmarkEnd w:id="24"/>
      <w:r>
        <w:t xml:space="preserve">股转系统启动做市业务资格备案</w:t>
      </w:r>
    </w:p>
    <w:p>
      <w:r>
        <w:t xml:space="preserve">6月5日，全国中小企业股份转让系统股份有限公司发布了《全国中小企业股份转让系统做市商做市业务管理规定（试行）》，指出证券公司在开展做市业务前，应当向股转系统申请备案，自获得做市业务备案函起3个月内，证券公司需完成做市技术系统测试并达到上线条件，并完成开立做市专用证券账户、做市专用交易单元等后续工作。</w:t>
      </w:r>
    </w:p>
    <w:p>
      <w:r>
        <w:t xml:space="preserve">该《规定》与前期已发布实施的《全国中小企业股份转让系统股票转让细则（试行）》一起，构成了股转系统挂牌公司股票做市转让业务的基本制度框架。</w:t>
      </w:r>
    </w:p>
    <w:p>
      <w:r>
        <w:t xml:space="preserve">股转系统于《规定》发布当日起，启动受理主办券商做市业务备案申请工作，并将于近期启动做市商专用技术系统测试工作。</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行业"/>
      <w:bookmarkEnd w:id="27"/>
      <w:r>
        <w:t xml:space="preserve">行业</w:t>
      </w:r>
    </w:p>
    <w:p>
      <w:pPr>
        <w:pStyle w:val="Heading3"/>
      </w:pPr>
      <w:bookmarkStart w:id="28" w:name="六部门联合出台意见保障儿童用药"/>
      <w:bookmarkEnd w:id="28"/>
      <w:r>
        <w:t xml:space="preserve">六部门联合出台意见保障儿童用药</w:t>
      </w:r>
    </w:p>
    <w:p>
      <w:r>
        <w:t xml:space="preserve">5月30日国家卫生和计划生育委员会官网消息，5月21日， 卫生计生委、发展改革委、工业和信息化部、人力资源社会保障部、食品药品监管总局、中医药局联合印发了《关于保障儿童用药的若干意见》（以下简称《意见》）。</w:t>
      </w:r>
    </w:p>
    <w:p>
      <w:r>
        <w:t xml:space="preserve">《意见》指出，相关部门要对儿童用药价格给予政策扶持，儿童专用剂型可单列代表品，不受成人药品定价水平影响；对儿童适宜剂型，研究规定较为宽松的剂型比价系数；对部分临床必需但尚在专利保护期内的进口儿童用药，探索建立价格谈判机制。同时，《意见》明确，相关部门应发挥医疗保险对儿童用药的保障功能，按规定及时将儿童适宜剂型、规格纳入基本医疗保险支付范围。</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安监总局等十二部门加快落后小煤矿关闭退出"/>
      <w:bookmarkEnd w:id="31"/>
      <w:r>
        <w:t xml:space="preserve">安监总局等十二部门：加快落后小煤矿关闭退出</w:t>
      </w:r>
    </w:p>
    <w:p>
      <w:r>
        <w:t xml:space="preserve">近日，国家安监总局等十二部门发布《关于加快落后小煤矿关闭退出工作的通知》，明确到2015年底全国关闭2000处以上小煤矿。</w:t>
      </w:r>
    </w:p>
    <w:p>
      <w:r>
        <w:t xml:space="preserve">《通知》指出，以辽宁、黑龙江、江西、湖北、湖南、重庆、四川、云南、贵州等省（市）为重点地区，逐步淘汰9万吨/年及以下煤矿，重点关闭不具备安全生产条件的煤矿，加快关闭9万吨/年及以下煤与瓦斯突出等灾害严重的煤矿，坚决关闭发生较大及以上责任事故的9万吨/年及以下的煤矿。此外，《通知》还确定了13类依法实施关闭或淘汰退出的小煤矿。</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保险"/>
      <w:bookmarkEnd w:id="34"/>
      <w:r>
        <w:t xml:space="preserve">保险</w:t>
      </w:r>
    </w:p>
    <w:p>
      <w:pPr>
        <w:pStyle w:val="Heading3"/>
      </w:pPr>
      <w:bookmarkStart w:id="35" w:name="保监会规范清理投资性房地产评估增值"/>
      <w:bookmarkEnd w:id="35"/>
      <w:r>
        <w:t xml:space="preserve">保监会规范清理投资性房地产评估增值</w:t>
      </w:r>
    </w:p>
    <w:p>
      <w:r>
        <w:t xml:space="preserve">保监会网站6月5日发布通知称，为加强偿付能力监管，防范房地产投资风险，保监会决定对保险公司的投资性房地产的评估增值进行清理和规范。</w:t>
      </w:r>
    </w:p>
    <w:p>
      <w:r>
        <w:t xml:space="preserve">本次清理范围包括两类，一是保险公司以物权方式直接持有的、且以公允价值计量的投资性房地产。二是保险公司通过设立或入股项目公司间接持有的、且以公允价值计量的投资性房地产。</w:t>
      </w:r>
    </w:p>
    <w:p>
      <w:r>
        <w:t xml:space="preserve">通知要求，持有上述投资性房地产的保险公司，应当于6月5日前向保监会报送相关材料。</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2"/>
      </w:pPr>
      <w:bookmarkStart w:id="38" w:name="税务"/>
      <w:bookmarkEnd w:id="38"/>
      <w:r>
        <w:t xml:space="preserve">税务</w:t>
      </w:r>
    </w:p>
    <w:p>
      <w:pPr>
        <w:pStyle w:val="Heading3"/>
      </w:pPr>
      <w:bookmarkStart w:id="39" w:name="三部委公布租赁企业进口飞机有关税收政策"/>
      <w:bookmarkEnd w:id="39"/>
      <w:r>
        <w:t xml:space="preserve">三部委公布租赁企业进口飞机有关税收政策</w:t>
      </w:r>
    </w:p>
    <w:p>
      <w:r>
        <w:t xml:space="preserve">近日，财政部、海关总署、国税总局联合发布《关于租赁企业进口飞机有关税收政策的通知》。</w:t>
      </w:r>
    </w:p>
    <w:p>
      <w:r>
        <w:t xml:space="preserve">根据《通知》，自2014年1月1日起，租赁企业一般贸易项下进口飞机并租给国内航空公司使用的，享受与国内航空公司进口飞机同等税收优惠政策，即进口空载重量在25吨以上的飞机减按 5%征收进口环节增值税。同时，海关特殊监管区域内租赁企业从境外购买并租给国内航空公司使用的、空载重量在25吨以上、不能实际入区的飞机，不实施进口保税政策，减按 5%征收进口环节增值税。</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国电公司购买分布式光伏发电项目电力产品发票开具问题明确"/>
      <w:bookmarkEnd w:id="42"/>
      <w:r>
        <w:t xml:space="preserve">国电公司购买分布式光伏发电项目电力产品发票开具问题明确</w:t>
      </w:r>
    </w:p>
    <w:p>
      <w:r>
        <w:t xml:space="preserve">6月3日，国税总局发布《关于国家电网公司购买分布式光伏发电项目电力产品发票开具等有关问题的公告》，自2014年7月1日起执行。</w:t>
      </w:r>
    </w:p>
    <w:p>
      <w:r>
        <w:t xml:space="preserve">《公告》所称发电户，为《中华人民共和国增值税暂行条例》及实施细则规定的“其他个人和不经常发生应税行为的非企业性单位”。根据《公告》，光伏发电项目发电户销售电力产品，按照税法规定应缴纳增值税的，可由国家电网公司所属企业按照增值税简易计税办法计算并代征增值税税款，同时开具普通发票；按照税法规定可享受免征增值税政策的，可由国家电网公司所属企业直接开具普通发票。</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两部门明确转让优先股有关证券股票交易印花税政策"/>
      <w:bookmarkEnd w:id="45"/>
      <w:r>
        <w:t xml:space="preserve">两部门明确转让优先股有关证券（股票）交易印花税政策</w:t>
      </w:r>
    </w:p>
    <w:p>
      <w:r>
        <w:t xml:space="preserve">日前，财政部、国税总局发布《关于转让优先股有关证券（股票）交易印花税政策的通知》（以下简称《通知》），自2014年6月1日起执行。</w:t>
      </w:r>
    </w:p>
    <w:p>
      <w:r>
        <w:t xml:space="preserve">《通知》明确，在上海证券交易所、深圳证券交易所、全国中小企业股份转让系统买卖、继承、赠与优先股所书立的股权转让书据，均依书立时实际成交金额，由出让方按 1‰的税率计算缴纳证券（股票）交易印花税。</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wto"/>
      <w:bookmarkEnd w:id="48"/>
      <w:r>
        <w:t xml:space="preserve">WTO</w:t>
      </w:r>
    </w:p>
    <w:p>
      <w:pPr>
        <w:pStyle w:val="Heading3"/>
      </w:pPr>
      <w:bookmarkStart w:id="49" w:name="进口欧盟和美国的四氯乙烯5月31日起征收反倾销税"/>
      <w:bookmarkEnd w:id="49"/>
      <w:r>
        <w:t xml:space="preserve">进口欧盟和美国的四氯乙烯5月31日起征收反倾销税</w:t>
      </w:r>
    </w:p>
    <w:p>
      <w:r>
        <w:t xml:space="preserve">海关总署日前发布2014年第40号公告，明确自2014年5月31日起，海关对进口原产于欧盟和美国的四氯乙烯（税则号列：29032300），除按现行规定征收关税外，还将区别不同的供货厂商，征收反倾销税及相应的进口环节增值税。根据《公告》，凡申报进口四氯乙烯的进口经营单位，应当向海关如实申报原产地并提交相关原产地证明文件。如果原产地为欧盟或美国的，还需提供原生产厂商发票。对于无法确定原产地的上述货物，海关按照本公告所列的最高反倾销税税率征收反倾销税。</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美国拟对中国太阳能板再征税"/>
      <w:bookmarkEnd w:id="52"/>
      <w:r>
        <w:t xml:space="preserve">美国拟对中国太阳能板再征税</w:t>
      </w:r>
    </w:p>
    <w:p>
      <w:r>
        <w:t xml:space="preserve">美国当地时间6月3日，美国商务部公布了针对中国光伏产品的二次“双反”（反倾销、反补贴）初裁结果，初步认定中国出口到美国的晶体硅光伏产品获得超额政府补贴，补贴幅度为18.56%至35.21%。基于补贴幅度的初裁结果，美国商务部将通知美国海关对中国出口的上述产品征收相应的保证金。</w:t>
      </w:r>
    </w:p>
    <w:p>
      <w:r>
        <w:t xml:space="preserve">美国商务部在一份声明中表示，对从无锡尚德和其他5家附属公司进口的太阳能板和其他产品征收35.21%的关税，对从天合光能进口的太阳能板征收18.56%的关税，对从其他中国太阳能生产商进口的太阳能板征收26.89%的关税。</w:t>
      </w:r>
    </w:p>
    <w:p>
      <w:r>
        <w:t xml:space="preserve">美国商务部此次提出的关税税率远高于2012年3月宣布的首轮关税，而且范围更广，覆盖组装太阳能电池板以及用来制造电池板的电池。最初的关税仅包括太阳能电池。</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并购"/>
      <w:bookmarkEnd w:id="55"/>
      <w:r>
        <w:t xml:space="preserve">并购</w:t>
      </w:r>
    </w:p>
    <w:p>
      <w:pPr>
        <w:pStyle w:val="Heading3"/>
      </w:pPr>
      <w:bookmarkStart w:id="56" w:name="阿里巴巴12亿获恒大足球50股权"/>
      <w:bookmarkEnd w:id="56"/>
      <w:r>
        <w:t xml:space="preserve">阿里巴巴12亿获恒大足球50%股权</w:t>
      </w:r>
    </w:p>
    <w:p>
      <w:r>
        <w:t xml:space="preserve">恒大集团与阿里巴巴集团6月5日召开战略合作发布会，宣布两大集团合作，阿里巴巴将作为恒大俱乐部战略投资者注资12亿元，获得恒大俱乐部50%的股权。</w:t>
      </w:r>
    </w:p>
    <w:p>
      <w:r>
        <w:t xml:space="preserve">根据协议，恒大足球俱乐部将增资扩股，阿里巴巴以12亿元入股恒大足球俱乐部。增资扩股后，阿里和恒大分别拥有俱乐部50%的股权。马云在发布会上告诉证券时报记者，阿里巴巴将用互联网思维，促进房地产业的转型与升级。</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湘鄂情剥离餐饮业务-8000万转让河南子公司"/>
      <w:bookmarkEnd w:id="59"/>
      <w:r>
        <w:t xml:space="preserve">湘鄂情剥离餐饮业务 8000万转让河南子公司</w:t>
      </w:r>
    </w:p>
    <w:p>
      <w:r>
        <w:t xml:space="preserve">湘鄂情6月6日公告，公司将全资子公司河南湘鄂情投资管理有限公司100%股权及相关债权以8000万元价格转让，由此将逐步剥离餐饮业务。公司股票继续停牌。</w:t>
      </w:r>
    </w:p>
    <w:p>
      <w:r>
        <w:t xml:space="preserve">公告显示，6月4日，公司就上述转让事宜与郑娜签署《河南湘鄂情投资管理有限公司股权转让及债权转让协议》。协议约定河南湘鄂情100%股权及相应的权益、义务转让价为8000万元，股权转让交割日后，公司将不再持有河南湘鄂情任何股权及对应的权益、义务。</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新文化15亿收购两大户外led运营商"/>
      <w:bookmarkEnd w:id="62"/>
      <w:r>
        <w:t xml:space="preserve">新文化15亿收购两大户外LED运营商</w:t>
      </w:r>
    </w:p>
    <w:p>
      <w:r>
        <w:t xml:space="preserve">新文化6月4日发布重组预案，公司拟以发行股份及支付现金的方式，购买郁金香传播100%股权和达可斯广告100%股权，标的资产交易价格合计为15亿元。公司股票今起复牌。</w:t>
      </w:r>
    </w:p>
    <w:p>
      <w:r>
        <w:t xml:space="preserve">公告显示，郁金香传播及达可斯广告全部股权交易价为15亿元，其中现金支付是6.3亿元，同时新文化以25.86元/股的价格，向两标的公司发行3364.84万股用以支付交易对价8.7亿元。</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银亿股份收购富田置业七成股权"/>
      <w:bookmarkEnd w:id="65"/>
      <w:r>
        <w:t xml:space="preserve">银亿股份收购富田置业七成股权</w:t>
      </w:r>
    </w:p>
    <w:p>
      <w:r>
        <w:t xml:space="preserve">银亿股份6月4日公告，全资子公司银亿房产拟以自有资金和自筹资金收购富田集团所持有的富田置业70%股权，预计收购总价款不超9.5亿元。据悉，富田置业注册资本3000万元，经营范围为房地产开发与经营、物业管理、房产拆迁等。</w:t>
      </w:r>
    </w:p>
    <w:p>
      <w:r>
        <w:t xml:space="preserve">银亿股份表示，待此次交易顺利完成后，将增加公司在宁波鄞州石碶街道地区的土地储备，预计增加权益土地面积4.55万平方米，权益建筑面积10.71万平方米，符合公司整体发展战略，有利于公司健康、稳定、长远发展。</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房地产"/>
      <w:bookmarkEnd w:id="68"/>
      <w:r>
        <w:t xml:space="preserve">房地产</w:t>
      </w:r>
    </w:p>
    <w:p>
      <w:pPr>
        <w:pStyle w:val="Heading3"/>
      </w:pPr>
      <w:bookmarkStart w:id="69" w:name="海口推出楼市新政"/>
      <w:bookmarkEnd w:id="69"/>
      <w:r>
        <w:t xml:space="preserve">海口推出楼市新政</w:t>
      </w:r>
    </w:p>
    <w:p>
      <w:r>
        <w:t xml:space="preserve">海口市政府常务会议通过的《关于促进房地产市场健康发展的实施意见》表示，自6月1日起，放宽海南省户籍购房者在海口购房落户政策：购单套房面积120平方米以上可落户五人。</w:t>
      </w:r>
    </w:p>
    <w:p>
      <w:r>
        <w:t xml:space="preserve">《意见》还对限价商品房申购条件做出调整。《意见》规定，从年龄条件上，满25周岁的单身居民可单独申请限价商品房；从户籍条件上，在本市实际工作并缴纳养老保险满3年，或从事个体经营并在本市实际居住满5年，或属市人才计划引进或具有中级以上职称或者技师以上职业资格、硕士以上学位，且与用人单位签订服务期累计为5年以上的聘用合同的可申请限价商品房；从住房面积条件上，申请人及共同申请的家庭成员无自有住房或自有住房面积（含政策性住房）人均使用面积低于18平方米的可申请限价商品房。</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其他"/>
      <w:bookmarkEnd w:id="72"/>
      <w:r>
        <w:t xml:space="preserve">其他</w:t>
      </w:r>
    </w:p>
    <w:p>
      <w:pPr>
        <w:pStyle w:val="Heading3"/>
      </w:pPr>
      <w:bookmarkStart w:id="73" w:name="最高人民法院发布审理公证民事案件司法解释"/>
      <w:bookmarkEnd w:id="73"/>
      <w:r>
        <w:t xml:space="preserve">最高人民法院发布审理公证民事案件司法解释</w:t>
      </w:r>
    </w:p>
    <w:p>
      <w:r>
        <w:t xml:space="preserve">近日，最高人民法院发布了《关于审理涉及公证活动相关民事案件的若干规定》(以下简称《规定》），并自2014年6月6日起施行。</w:t>
      </w:r>
    </w:p>
    <w:p>
      <w:r>
        <w:t xml:space="preserve">根据《规定》，当事人、公证事项的利害关系人起诉请求变更、撤销公证书或者确认公证书无效的，人民法院不予受理，告知其向出具公证书的公证机构提出复查。同时，公证书作出以后，当事人、公证事项的利害关系人就公证书所公证的民事权利义务有争议的，可以向人民法院提起诉讼。此外，《规定》还明确了公证损害责任纠纷中对公证机构的过错认定标准。</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第409期 - 2014年06月06日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1b9314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70" Target="http://epaper.stcn.com/paper/zqsb/html/2014-05/31/content_580125.htm" TargetMode="External" /><Relationship Type="http://schemas.openxmlformats.org/officeDocument/2006/relationships/hyperlink" Id="rId63" Target="http://epaper.stcn.com/paper/zqsb/html/2014-06/04/content_580566.htm" TargetMode="External" /><Relationship Type="http://schemas.openxmlformats.org/officeDocument/2006/relationships/hyperlink" Id="rId66" Target="http://epaper.stcn.com/paper/zqsb/html/2014-06/04/content_580775.htm" TargetMode="External" /><Relationship Type="http://schemas.openxmlformats.org/officeDocument/2006/relationships/hyperlink" Id="rId57" Target="http://epaper.stcn.com/paper/zqsb/html/epaper/index/content_581424.htm" TargetMode="External" /><Relationship Type="http://schemas.openxmlformats.org/officeDocument/2006/relationships/hyperlink" Id="rId60" Target="http://epaper.stcn.com/paper/zqsb/html/epaper/index/content_581427.htm" TargetMode="External" /><Relationship Type="http://schemas.openxmlformats.org/officeDocument/2006/relationships/hyperlink" Id="rId25" Target="http://epaper.stcn.com/paper/zqsb/html/epaper/index/content_581432.htm" TargetMode="External" /><Relationship Type="http://schemas.openxmlformats.org/officeDocument/2006/relationships/hyperlink" Id="rId36" Target="http://epaper.stcn.com/paper/zqsb/html/epaper/index/content_581437.htm" TargetMode="External" /><Relationship Type="http://schemas.openxmlformats.org/officeDocument/2006/relationships/hyperlink" Id="rId40" Target="http://gss.mof.gov.cn/zhengwuxinxi/zhengcefabu/201406/t20140604_1087451.html" TargetMode="External" /><Relationship Type="http://schemas.openxmlformats.org/officeDocument/2006/relationships/hyperlink" Id="rId53" Target="http://money.163.com/14/0605/09/9TVF226400253B0H.html" TargetMode="External" /><Relationship Type="http://schemas.openxmlformats.org/officeDocument/2006/relationships/hyperlink" Id="rId74" Target="http://rmfyb.chinacourt.org/paper/html/2014-06/04/content_82734.htm?div=-1" TargetMode="External" /><Relationship Type="http://schemas.openxmlformats.org/officeDocument/2006/relationships/hyperlink" Id="rId46" Target="http://szs.mof.gov.cn/zhengwuxinxi/zhengcefabu/201405/t20140530_1086482.html" TargetMode="External" /><Relationship Type="http://schemas.openxmlformats.org/officeDocument/2006/relationships/hyperlink" Id="rId21" Target="http://www.charltonslaw.com.cn/china-news-alerts-cn-issue-409/" TargetMode="External" /><Relationship Type="http://schemas.openxmlformats.org/officeDocument/2006/relationships/hyperlink" Id="rId32" Target="http://www.chinasafety.gov.cn/newpage/Contents/Channel_6289/2014/0603/235624/content_235624.htm" TargetMode="External" /><Relationship Type="http://schemas.openxmlformats.org/officeDocument/2006/relationships/hyperlink" Id="rId50" Target="http://www.customs.gov.cn/publish/portal0/tab49564/info708374.htm" TargetMode="External" /><Relationship Type="http://schemas.openxmlformats.org/officeDocument/2006/relationships/hyperlink" Id="rId29" Target="http://www.nhfpc.gov.cn/yaozs/s3581/201405/e51354d631944fa68aac0c4d9585f291.shtml" TargetMode="External" /><Relationship Type="http://schemas.openxmlformats.org/officeDocument/2006/relationships/hyperlink" Id="rId43" Target="http://www.zbtax.sh.gov.cn/pub/xxgk/zcfg/swzsgl/201406/t20140605_408267.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70" Target="http://epaper.stcn.com/paper/zqsb/html/2014-05/31/content_580125.htm" TargetMode="External" /><Relationship Type="http://schemas.openxmlformats.org/officeDocument/2006/relationships/hyperlink" Id="rId63" Target="http://epaper.stcn.com/paper/zqsb/html/2014-06/04/content_580566.htm" TargetMode="External" /><Relationship Type="http://schemas.openxmlformats.org/officeDocument/2006/relationships/hyperlink" Id="rId66" Target="http://epaper.stcn.com/paper/zqsb/html/2014-06/04/content_580775.htm" TargetMode="External" /><Relationship Type="http://schemas.openxmlformats.org/officeDocument/2006/relationships/hyperlink" Id="rId57" Target="http://epaper.stcn.com/paper/zqsb/html/epaper/index/content_581424.htm" TargetMode="External" /><Relationship Type="http://schemas.openxmlformats.org/officeDocument/2006/relationships/hyperlink" Id="rId60" Target="http://epaper.stcn.com/paper/zqsb/html/epaper/index/content_581427.htm" TargetMode="External" /><Relationship Type="http://schemas.openxmlformats.org/officeDocument/2006/relationships/hyperlink" Id="rId25" Target="http://epaper.stcn.com/paper/zqsb/html/epaper/index/content_581432.htm" TargetMode="External" /><Relationship Type="http://schemas.openxmlformats.org/officeDocument/2006/relationships/hyperlink" Id="rId36" Target="http://epaper.stcn.com/paper/zqsb/html/epaper/index/content_581437.htm" TargetMode="External" /><Relationship Type="http://schemas.openxmlformats.org/officeDocument/2006/relationships/hyperlink" Id="rId40" Target="http://gss.mof.gov.cn/zhengwuxinxi/zhengcefabu/201406/t20140604_1087451.html" TargetMode="External" /><Relationship Type="http://schemas.openxmlformats.org/officeDocument/2006/relationships/hyperlink" Id="rId53" Target="http://money.163.com/14/0605/09/9TVF226400253B0H.html" TargetMode="External" /><Relationship Type="http://schemas.openxmlformats.org/officeDocument/2006/relationships/hyperlink" Id="rId74" Target="http://rmfyb.chinacourt.org/paper/html/2014-06/04/content_82734.htm?div=-1" TargetMode="External" /><Relationship Type="http://schemas.openxmlformats.org/officeDocument/2006/relationships/hyperlink" Id="rId46" Target="http://szs.mof.gov.cn/zhengwuxinxi/zhengcefabu/201405/t20140530_1086482.html" TargetMode="External" /><Relationship Type="http://schemas.openxmlformats.org/officeDocument/2006/relationships/hyperlink" Id="rId21" Target="http://www.charltonslaw.com.cn/china-news-alerts-cn-issue-409/" TargetMode="External" /><Relationship Type="http://schemas.openxmlformats.org/officeDocument/2006/relationships/hyperlink" Id="rId32" Target="http://www.chinasafety.gov.cn/newpage/Contents/Channel_6289/2014/0603/235624/content_235624.htm" TargetMode="External" /><Relationship Type="http://schemas.openxmlformats.org/officeDocument/2006/relationships/hyperlink" Id="rId50" Target="http://www.customs.gov.cn/publish/portal0/tab49564/info708374.htm" TargetMode="External" /><Relationship Type="http://schemas.openxmlformats.org/officeDocument/2006/relationships/hyperlink" Id="rId29" Target="http://www.nhfpc.gov.cn/yaozs/s3581/201405/e51354d631944fa68aac0c4d9585f291.shtml" TargetMode="External" /><Relationship Type="http://schemas.openxmlformats.org/officeDocument/2006/relationships/hyperlink" Id="rId43" Target="http://www.zbtax.sh.gov.cn/pub/xxgk/zcfg/swzsgl/201406/t20140605_408267.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第409期 - 2014年06月06日</dc:title>
  <dc:creator/>
</cp:coreProperties>
</file>